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FF3B8" w14:textId="77777777" w:rsidR="001877A6" w:rsidRPr="00D4744F" w:rsidRDefault="001877A6" w:rsidP="001877A6">
      <w:pPr>
        <w:pStyle w:val="TOCHeading"/>
        <w:ind w:left="737" w:firstLine="0"/>
        <w:rPr>
          <w:rFonts w:cs="Times New Roman"/>
          <w:sz w:val="20"/>
          <w:szCs w:val="20"/>
        </w:rPr>
      </w:pPr>
      <w:r w:rsidRPr="00D4744F">
        <w:rPr>
          <w:rFonts w:cs="Times New Roman"/>
          <w:sz w:val="20"/>
          <w:szCs w:val="20"/>
        </w:rPr>
        <w:t>Contents</w:t>
      </w:r>
    </w:p>
    <w:p w14:paraId="4583AD7F" w14:textId="77777777" w:rsidR="00D84134" w:rsidRPr="003D1386" w:rsidRDefault="00D84134" w:rsidP="00D84134">
      <w:r w:rsidRPr="003D1386">
        <w:t>Click on the section that you are interested in.</w:t>
      </w:r>
    </w:p>
    <w:p w14:paraId="67A3CB4F" w14:textId="77777777" w:rsidR="00D84134" w:rsidRPr="003D1386" w:rsidRDefault="00D84134" w:rsidP="00D84134"/>
    <w:p w14:paraId="11BB7E4D" w14:textId="615E5729" w:rsidR="00D84134" w:rsidRPr="009E34A5" w:rsidRDefault="00D84134" w:rsidP="00D84134">
      <w:pPr>
        <w:pStyle w:val="TOC1"/>
        <w:tabs>
          <w:tab w:val="right" w:leader="dot" w:pos="8931"/>
        </w:tabs>
        <w:rPr>
          <w:rFonts w:ascii="Calibri" w:hAnsi="Calibri"/>
          <w:b w:val="0"/>
          <w:bCs/>
          <w:sz w:val="22"/>
          <w:szCs w:val="22"/>
          <w:lang w:eastAsia="en-AU"/>
        </w:rPr>
      </w:pPr>
      <w:r w:rsidRPr="003D1386">
        <w:fldChar w:fldCharType="begin"/>
      </w:r>
      <w:r w:rsidRPr="003D1386">
        <w:instrText xml:space="preserve"> TOC \o "1-1" \h \z \u </w:instrText>
      </w:r>
      <w:r w:rsidRPr="003D1386">
        <w:fldChar w:fldCharType="separate"/>
      </w:r>
      <w:hyperlink w:anchor="_Toc513032742" w:history="1">
        <w:r w:rsidRPr="001624EC">
          <w:rPr>
            <w:rStyle w:val="Hyperlink"/>
          </w:rPr>
          <w:t>1</w:t>
        </w:r>
        <w:r w:rsidRPr="009E34A5">
          <w:rPr>
            <w:rFonts w:ascii="Calibri" w:hAnsi="Calibri"/>
            <w:b w:val="0"/>
            <w:bCs/>
            <w:sz w:val="22"/>
            <w:szCs w:val="22"/>
            <w:lang w:eastAsia="en-AU"/>
          </w:rPr>
          <w:tab/>
        </w:r>
        <w:r w:rsidRPr="001624EC">
          <w:rPr>
            <w:rStyle w:val="Hyperlink"/>
          </w:rPr>
          <w:t>About this Part</w:t>
        </w:r>
        <w:r>
          <w:rPr>
            <w:webHidden/>
          </w:rPr>
          <w:tab/>
        </w:r>
        <w:r>
          <w:rPr>
            <w:webHidden/>
          </w:rPr>
          <w:fldChar w:fldCharType="begin"/>
        </w:r>
        <w:r>
          <w:rPr>
            <w:webHidden/>
          </w:rPr>
          <w:instrText xml:space="preserve"> PAGEREF _Toc513032742 \h </w:instrText>
        </w:r>
        <w:r>
          <w:rPr>
            <w:webHidden/>
          </w:rPr>
        </w:r>
        <w:r>
          <w:rPr>
            <w:webHidden/>
          </w:rPr>
          <w:fldChar w:fldCharType="separate"/>
        </w:r>
        <w:r w:rsidR="006F603C">
          <w:rPr>
            <w:noProof/>
            <w:webHidden/>
          </w:rPr>
          <w:t>2</w:t>
        </w:r>
        <w:r>
          <w:rPr>
            <w:webHidden/>
          </w:rPr>
          <w:fldChar w:fldCharType="end"/>
        </w:r>
      </w:hyperlink>
    </w:p>
    <w:p w14:paraId="697D7EAF" w14:textId="256F26C7" w:rsidR="00D84134" w:rsidRPr="009E34A5" w:rsidRDefault="00000000" w:rsidP="00D84134">
      <w:pPr>
        <w:pStyle w:val="TOC1"/>
        <w:tabs>
          <w:tab w:val="right" w:leader="dot" w:pos="8931"/>
        </w:tabs>
        <w:rPr>
          <w:rFonts w:ascii="Calibri" w:hAnsi="Calibri"/>
          <w:b w:val="0"/>
          <w:bCs/>
          <w:sz w:val="22"/>
          <w:szCs w:val="22"/>
          <w:lang w:eastAsia="en-AU"/>
        </w:rPr>
      </w:pPr>
      <w:hyperlink w:anchor="_Toc513032744" w:history="1">
        <w:r w:rsidR="00071638">
          <w:rPr>
            <w:rStyle w:val="Hyperlink"/>
          </w:rPr>
          <w:t>2</w:t>
        </w:r>
        <w:r w:rsidR="00D84134" w:rsidRPr="009E34A5">
          <w:rPr>
            <w:rFonts w:ascii="Calibri" w:hAnsi="Calibri"/>
            <w:b w:val="0"/>
            <w:bCs/>
            <w:sz w:val="22"/>
            <w:szCs w:val="22"/>
            <w:lang w:eastAsia="en-AU"/>
          </w:rPr>
          <w:tab/>
        </w:r>
        <w:r w:rsidR="00D84134" w:rsidRPr="001624EC">
          <w:rPr>
            <w:rStyle w:val="Hyperlink"/>
          </w:rPr>
          <w:t>Corporate Mobile Plus Plans</w:t>
        </w:r>
        <w:r w:rsidR="00D84134">
          <w:rPr>
            <w:webHidden/>
          </w:rPr>
          <w:tab/>
        </w:r>
        <w:r w:rsidR="00071638">
          <w:rPr>
            <w:webHidden/>
          </w:rPr>
          <w:t>2</w:t>
        </w:r>
      </w:hyperlink>
    </w:p>
    <w:p w14:paraId="47A03930" w14:textId="0E71F13E" w:rsidR="00631E85" w:rsidRPr="00631E85" w:rsidRDefault="00D84134" w:rsidP="00D84134">
      <w:r w:rsidRPr="003D1386">
        <w:fldChar w:fldCharType="end"/>
      </w:r>
    </w:p>
    <w:p w14:paraId="7637143E" w14:textId="77777777" w:rsidR="00631E85" w:rsidRPr="00631E85" w:rsidRDefault="00631E85" w:rsidP="00631E85"/>
    <w:p w14:paraId="25B0E4CE" w14:textId="77777777" w:rsidR="00631E85" w:rsidRPr="00631E85" w:rsidRDefault="00631E85" w:rsidP="00631E85"/>
    <w:p w14:paraId="419E50E5" w14:textId="77777777" w:rsidR="00631E85" w:rsidRPr="00631E85" w:rsidRDefault="00631E85" w:rsidP="00631E85"/>
    <w:p w14:paraId="0F79EFE7" w14:textId="77777777" w:rsidR="00631E85" w:rsidRPr="00631E85" w:rsidRDefault="00631E85" w:rsidP="00631E85"/>
    <w:p w14:paraId="0178E63A" w14:textId="77777777" w:rsidR="00631E85" w:rsidRPr="00631E85" w:rsidRDefault="00631E85" w:rsidP="00631E85"/>
    <w:p w14:paraId="20578F1B" w14:textId="77777777" w:rsidR="00631E85" w:rsidRPr="00631E85" w:rsidRDefault="00631E85" w:rsidP="00631E85"/>
    <w:p w14:paraId="2ADD0DF6" w14:textId="77777777" w:rsidR="00631E85" w:rsidRPr="00631E85" w:rsidRDefault="00631E85" w:rsidP="00631E85"/>
    <w:p w14:paraId="65324F94" w14:textId="77777777" w:rsidR="00631E85" w:rsidRPr="00631E85" w:rsidRDefault="00631E85" w:rsidP="00631E85"/>
    <w:p w14:paraId="35DCC569" w14:textId="77777777" w:rsidR="00631E85" w:rsidRPr="00631E85" w:rsidRDefault="00631E85" w:rsidP="00631E85"/>
    <w:p w14:paraId="45BEF28A" w14:textId="6ADEB847" w:rsidR="00C54F4C" w:rsidRPr="00631E85" w:rsidRDefault="00C54F4C" w:rsidP="00631E85">
      <w:pPr>
        <w:tabs>
          <w:tab w:val="left" w:pos="1878"/>
        </w:tabs>
        <w:sectPr w:rsidR="00C54F4C" w:rsidRPr="00631E85" w:rsidSect="00F33D02">
          <w:headerReference w:type="even" r:id="rId12"/>
          <w:headerReference w:type="default" r:id="rId13"/>
          <w:footerReference w:type="even" r:id="rId14"/>
          <w:footerReference w:type="default" r:id="rId15"/>
          <w:headerReference w:type="first" r:id="rId16"/>
          <w:footerReference w:type="first" r:id="rId17"/>
          <w:pgSz w:w="11907" w:h="16840" w:code="9"/>
          <w:pgMar w:top="1134" w:right="1559" w:bottom="1418" w:left="1843" w:header="0" w:footer="567" w:gutter="0"/>
          <w:cols w:space="720"/>
          <w:docGrid w:linePitch="313"/>
        </w:sectPr>
      </w:pPr>
    </w:p>
    <w:p w14:paraId="62ABC5FE" w14:textId="069553DD" w:rsidR="00EB5FAF" w:rsidRPr="00EB5FAF" w:rsidRDefault="00EB5FAF" w:rsidP="00EB5FAF">
      <w:pPr>
        <w:rPr>
          <w:rFonts w:ascii="Verdana" w:hAnsi="Verdana"/>
          <w:sz w:val="20"/>
        </w:rPr>
      </w:pPr>
      <w:r w:rsidRPr="00EB5FAF">
        <w:rPr>
          <w:rFonts w:ascii="Verdana" w:hAnsi="Verdana"/>
          <w:sz w:val="20"/>
        </w:rPr>
        <w:lastRenderedPageBreak/>
        <w:t xml:space="preserve">Certain words are used with the specific meanings set in Part A – General of the Telstra Mobile section, or in </w:t>
      </w:r>
      <w:hyperlink r:id="rId18" w:history="1">
        <w:r w:rsidRPr="00EB5FAF">
          <w:rPr>
            <w:rStyle w:val="Hyperlink"/>
            <w:rFonts w:ascii="Verdana" w:hAnsi="Verdana"/>
            <w:sz w:val="20"/>
          </w:rPr>
          <w:t>the General Terms of Our Customer Terms</w:t>
        </w:r>
      </w:hyperlink>
      <w:r w:rsidRPr="00EB5FAF">
        <w:rPr>
          <w:rFonts w:ascii="Verdana" w:hAnsi="Verdana"/>
          <w:sz w:val="20"/>
        </w:rPr>
        <w:t xml:space="preserve">.  </w:t>
      </w:r>
    </w:p>
    <w:p w14:paraId="29BEF637" w14:textId="77777777" w:rsidR="00EB5FAF" w:rsidRPr="003D1386" w:rsidRDefault="00EB5FAF" w:rsidP="00EB5FAF"/>
    <w:p w14:paraId="72D78B98" w14:textId="77777777" w:rsidR="00EB5FAF" w:rsidRPr="003D1386" w:rsidRDefault="00EB5FAF" w:rsidP="00EB5FAF">
      <w:pPr>
        <w:pStyle w:val="Heading1"/>
        <w:numPr>
          <w:ilvl w:val="0"/>
          <w:numId w:val="6"/>
        </w:numPr>
        <w:pBdr>
          <w:bottom w:val="single" w:sz="4" w:space="1" w:color="auto"/>
        </w:pBdr>
        <w:spacing w:before="0"/>
      </w:pPr>
      <w:bookmarkStart w:id="0" w:name="_Toc513032742"/>
      <w:r w:rsidRPr="003D1386">
        <w:t>About this Part</w:t>
      </w:r>
      <w:bookmarkEnd w:id="0"/>
    </w:p>
    <w:p w14:paraId="52133CC1" w14:textId="77777777" w:rsidR="00EB5FAF" w:rsidRDefault="00EB5FAF" w:rsidP="00EB5FAF">
      <w:pPr>
        <w:pStyle w:val="Heading2"/>
        <w:widowControl w:val="0"/>
        <w:numPr>
          <w:ilvl w:val="1"/>
          <w:numId w:val="6"/>
        </w:numPr>
        <w:spacing w:before="0" w:after="240"/>
      </w:pPr>
      <w:bookmarkStart w:id="1" w:name="_Toc52674845"/>
      <w:r w:rsidRPr="003D1386">
        <w:t>This is part of the Telstra Mobile section of Our Customer Terms.  Provisions in other parts of the Telstra Mobile section, as well as in the General Terms of Our Customer Terms, may apply.</w:t>
      </w:r>
      <w:bookmarkEnd w:id="1"/>
    </w:p>
    <w:p w14:paraId="470E9FBD" w14:textId="77777777" w:rsidR="00EB5FAF" w:rsidRPr="00E55CBB" w:rsidRDefault="00EB5FAF" w:rsidP="00EB5FAF">
      <w:pPr>
        <w:pStyle w:val="Heading3"/>
        <w:widowControl w:val="0"/>
        <w:numPr>
          <w:ilvl w:val="2"/>
          <w:numId w:val="6"/>
        </w:numPr>
        <w:tabs>
          <w:tab w:val="num" w:pos="1447"/>
        </w:tabs>
        <w:spacing w:before="0" w:after="240"/>
        <w:ind w:left="1447"/>
      </w:pPr>
      <w:r w:rsidRPr="00E55CBB">
        <w:t xml:space="preserve">See clause 1 of </w:t>
      </w:r>
      <w:hyperlink r:id="rId19" w:history="1">
        <w:r w:rsidRPr="009A5166">
          <w:t>the General Terms of Our Customer Terms</w:t>
        </w:r>
      </w:hyperlink>
      <w:r w:rsidRPr="00E55CBB">
        <w:t xml:space="preserve"> for more detail on how the various sections of Our Customer Terms should be read together.</w:t>
      </w:r>
    </w:p>
    <w:p w14:paraId="1712F785" w14:textId="77777777" w:rsidR="00EB5FAF" w:rsidRPr="00E55CBB" w:rsidRDefault="00EB5FAF" w:rsidP="00EB5FAF">
      <w:pPr>
        <w:pStyle w:val="Heading3"/>
        <w:widowControl w:val="0"/>
        <w:numPr>
          <w:ilvl w:val="2"/>
          <w:numId w:val="6"/>
        </w:numPr>
        <w:tabs>
          <w:tab w:val="num" w:pos="1447"/>
        </w:tabs>
        <w:spacing w:before="0" w:after="240"/>
        <w:ind w:left="1447"/>
      </w:pPr>
      <w:r w:rsidRPr="00E55CBB">
        <w:t xml:space="preserve">See clause 1 of </w:t>
      </w:r>
      <w:hyperlink r:id="rId20" w:history="1">
        <w:r w:rsidRPr="009A5166">
          <w:t>Part A – General of the Telstra Mobile section</w:t>
        </w:r>
      </w:hyperlink>
      <w:r w:rsidRPr="00E55CBB">
        <w:t xml:space="preserve"> for more detail on how the various parts of the Telstra Mobile section should be read together.</w:t>
      </w:r>
    </w:p>
    <w:p w14:paraId="0BD2A5F8" w14:textId="483B2A9A" w:rsidR="0031733F" w:rsidRDefault="00EB5FAF" w:rsidP="00EB5FAF">
      <w:pPr>
        <w:pStyle w:val="Heading2"/>
        <w:widowControl w:val="0"/>
        <w:numPr>
          <w:ilvl w:val="1"/>
          <w:numId w:val="6"/>
        </w:numPr>
        <w:spacing w:before="0" w:after="240"/>
      </w:pPr>
      <w:r w:rsidRPr="003D1386">
        <w:t>From time to time, Telstra may include extra content or value add services within the minimum monthly charge of any plan in this Part.  Such extra content or value add services may be available for a limited time.</w:t>
      </w:r>
    </w:p>
    <w:p w14:paraId="0C4A6880" w14:textId="77777777" w:rsidR="00EB5FAF" w:rsidRPr="003D1386" w:rsidRDefault="00EB5FAF" w:rsidP="00EB5FAF">
      <w:pPr>
        <w:pStyle w:val="Heading1"/>
        <w:numPr>
          <w:ilvl w:val="0"/>
          <w:numId w:val="6"/>
        </w:numPr>
        <w:pBdr>
          <w:bottom w:val="single" w:sz="4" w:space="1" w:color="auto"/>
        </w:pBdr>
        <w:spacing w:before="0"/>
      </w:pPr>
      <w:bookmarkStart w:id="2" w:name="_Toc448916325"/>
      <w:bookmarkStart w:id="3" w:name="_Toc513032744"/>
      <w:r w:rsidRPr="00DF603E">
        <w:t>Corporate Mobile</w:t>
      </w:r>
      <w:r w:rsidRPr="003D1386">
        <w:t xml:space="preserve"> Plus Plans</w:t>
      </w:r>
      <w:bookmarkEnd w:id="2"/>
      <w:bookmarkEnd w:id="3"/>
    </w:p>
    <w:p w14:paraId="24172A87" w14:textId="77777777" w:rsidR="00396A7A" w:rsidRPr="00D853F4" w:rsidRDefault="00396A7A" w:rsidP="00367671">
      <w:pPr>
        <w:pStyle w:val="SubHead"/>
        <w:ind w:left="737"/>
        <w:rPr>
          <w:bCs w:val="0"/>
        </w:rPr>
      </w:pPr>
      <w:bookmarkStart w:id="4" w:name="_Toc448916326"/>
      <w:r w:rsidRPr="00D853F4">
        <w:rPr>
          <w:bCs w:val="0"/>
        </w:rPr>
        <w:t>Not available for new service connections or service changes from 01 January 2023 and discontinued from 30 March 2023.</w:t>
      </w:r>
    </w:p>
    <w:p w14:paraId="47C0ACDE" w14:textId="2C04F7C8" w:rsidR="00CD26A3" w:rsidRDefault="00AA01EA" w:rsidP="00EB5FAF">
      <w:pPr>
        <w:pStyle w:val="SubHead"/>
      </w:pPr>
      <w:r>
        <w:t>Availability</w:t>
      </w:r>
    </w:p>
    <w:p w14:paraId="647E5D56" w14:textId="060D3D1B" w:rsidR="00ED51EA" w:rsidRPr="00ED51EA" w:rsidRDefault="00ED51EA" w:rsidP="00D9292A">
      <w:pPr>
        <w:pStyle w:val="Heading2"/>
        <w:widowControl w:val="0"/>
        <w:numPr>
          <w:ilvl w:val="1"/>
          <w:numId w:val="6"/>
        </w:numPr>
        <w:spacing w:before="0" w:after="240"/>
      </w:pPr>
      <w:r w:rsidRPr="00D9292A">
        <w:t xml:space="preserve">Unless we otherwise agree, Corporate Mobile Plus is not available </w:t>
      </w:r>
      <w:r w:rsidR="00CF6D8C">
        <w:t>to</w:t>
      </w:r>
      <w:r w:rsidRPr="00D9292A">
        <w:t xml:space="preserve"> new or recontracting customers on and from 18 August 2020.</w:t>
      </w:r>
    </w:p>
    <w:p w14:paraId="1D97B4C5" w14:textId="1D5E5A73" w:rsidR="00EB5FAF" w:rsidRPr="003D1386" w:rsidRDefault="00EB5FAF" w:rsidP="00EB5FAF">
      <w:pPr>
        <w:pStyle w:val="SubHead"/>
      </w:pPr>
      <w:r w:rsidRPr="003D1386">
        <w:t>Eligibility</w:t>
      </w:r>
      <w:bookmarkEnd w:id="4"/>
    </w:p>
    <w:p w14:paraId="5FFE9ADE" w14:textId="77777777" w:rsidR="00EB5FAF" w:rsidRPr="003D1386" w:rsidRDefault="00EB5FAF" w:rsidP="00EB5FAF">
      <w:pPr>
        <w:pStyle w:val="Heading2"/>
        <w:widowControl w:val="0"/>
        <w:numPr>
          <w:ilvl w:val="1"/>
          <w:numId w:val="6"/>
        </w:numPr>
        <w:spacing w:before="0" w:after="240"/>
      </w:pPr>
      <w:r w:rsidRPr="003D1386">
        <w:t>To be eligible to connect mobile services under Corporate Mobile Plus, you must have:</w:t>
      </w:r>
    </w:p>
    <w:p w14:paraId="4588246B"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an ABN, ACN or ARBN; and</w:t>
      </w:r>
    </w:p>
    <w:p w14:paraId="12E9FAAF"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a current Corporate Mobile Plus customer agreement with us.</w:t>
      </w:r>
    </w:p>
    <w:p w14:paraId="3542CEF0" w14:textId="77777777" w:rsidR="00EB5FAF" w:rsidRPr="003D1386" w:rsidRDefault="00EB5FAF" w:rsidP="00EB5FAF">
      <w:pPr>
        <w:pStyle w:val="Heading2"/>
        <w:widowControl w:val="0"/>
        <w:numPr>
          <w:ilvl w:val="1"/>
          <w:numId w:val="6"/>
        </w:numPr>
        <w:spacing w:before="0" w:after="240"/>
      </w:pPr>
      <w:r w:rsidRPr="003D1386">
        <w:t>Services connected to plans other than Corporate Mobile Plus Plans can’t be on the same account as services on Corporate Mobile Plus Plans.</w:t>
      </w:r>
    </w:p>
    <w:p w14:paraId="0C4BD7E8" w14:textId="77777777" w:rsidR="00EB5FAF" w:rsidRPr="003D1386" w:rsidRDefault="00EB5FAF" w:rsidP="00EB5FAF">
      <w:pPr>
        <w:pStyle w:val="Heading2"/>
        <w:widowControl w:val="0"/>
        <w:numPr>
          <w:ilvl w:val="1"/>
          <w:numId w:val="6"/>
        </w:numPr>
        <w:spacing w:before="0" w:after="240"/>
      </w:pPr>
      <w:r w:rsidRPr="003D1386">
        <w:t>Corporate Mobile Plus Plans are not available with any other Telstra offer unless advised by us otherwise.</w:t>
      </w:r>
    </w:p>
    <w:p w14:paraId="54A689D7" w14:textId="77777777" w:rsidR="00EB5FAF" w:rsidRPr="003D1386" w:rsidRDefault="00EB5FAF" w:rsidP="00EB5FAF">
      <w:pPr>
        <w:pStyle w:val="SubHead"/>
      </w:pPr>
      <w:bookmarkStart w:id="5" w:name="_Toc448916327"/>
      <w:r w:rsidRPr="003D1386">
        <w:t>Plan type</w:t>
      </w:r>
      <w:bookmarkEnd w:id="5"/>
    </w:p>
    <w:p w14:paraId="1402DD8B" w14:textId="77777777" w:rsidR="00EB5FAF" w:rsidRPr="003D1386" w:rsidRDefault="00EB5FAF" w:rsidP="00EB5FAF">
      <w:pPr>
        <w:pStyle w:val="Heading2"/>
        <w:widowControl w:val="0"/>
        <w:numPr>
          <w:ilvl w:val="1"/>
          <w:numId w:val="6"/>
        </w:numPr>
        <w:spacing w:before="0" w:after="240"/>
      </w:pPr>
      <w:r w:rsidRPr="003D1386">
        <w:t xml:space="preserve">Corporate Mobile Plus Plans are casual month-by-month plans. </w:t>
      </w:r>
    </w:p>
    <w:p w14:paraId="4CF9C834" w14:textId="77777777" w:rsidR="00EB5FAF" w:rsidRPr="003D1386" w:rsidRDefault="00EB5FAF" w:rsidP="00EB5FAF">
      <w:pPr>
        <w:pStyle w:val="Heading2"/>
        <w:widowControl w:val="0"/>
        <w:numPr>
          <w:ilvl w:val="1"/>
          <w:numId w:val="6"/>
        </w:numPr>
        <w:spacing w:before="0" w:after="240"/>
      </w:pPr>
      <w:r w:rsidRPr="003D1386">
        <w:t>You are only eligible to connect mobile services to the Corporate Mobile Plus Plans set out in your Corporate Mobile Plus customer agreement.</w:t>
      </w:r>
    </w:p>
    <w:p w14:paraId="25826143" w14:textId="53DE27D1" w:rsidR="00EB5FAF" w:rsidRDefault="00EB5FAF" w:rsidP="00EB5FAF">
      <w:pPr>
        <w:pStyle w:val="Heading2"/>
        <w:widowControl w:val="0"/>
        <w:numPr>
          <w:ilvl w:val="1"/>
          <w:numId w:val="6"/>
        </w:numPr>
        <w:spacing w:before="0" w:after="240"/>
      </w:pPr>
      <w:r w:rsidRPr="003D1386">
        <w:t xml:space="preserve">If you entered into a Corporate Mobile Plus customer agreement before 20 July 2016 (including recontracts and extensions on substantially the same </w:t>
      </w:r>
      <w:r w:rsidRPr="003D1386">
        <w:lastRenderedPageBreak/>
        <w:t>terms), the following terminology describes your plan in clause 3:</w:t>
      </w:r>
    </w:p>
    <w:p w14:paraId="0CAA4FBA" w14:textId="7CC13B07" w:rsidR="00EB5FAF" w:rsidRDefault="00EB5FAF" w:rsidP="00EB5FAF"/>
    <w:p w14:paraId="1C027F0B" w14:textId="26D09A72" w:rsidR="00EB5FAF" w:rsidRDefault="00EB5FAF" w:rsidP="00EB5FAF"/>
    <w:p w14:paraId="2BC1CBE6" w14:textId="77777777" w:rsidR="00EB5FAF" w:rsidRPr="00EB5FAF" w:rsidRDefault="00EB5FAF" w:rsidP="00EB5FAF"/>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3740"/>
      </w:tblGrid>
      <w:tr w:rsidR="00EB5FAF" w:rsidRPr="003D1386" w14:paraId="0BC5CECD" w14:textId="77777777" w:rsidTr="00382389">
        <w:tc>
          <w:tcPr>
            <w:tcW w:w="4643" w:type="dxa"/>
            <w:tcBorders>
              <w:top w:val="single" w:sz="4" w:space="0" w:color="auto"/>
              <w:left w:val="single" w:sz="4" w:space="0" w:color="auto"/>
            </w:tcBorders>
            <w:shd w:val="clear" w:color="auto" w:fill="FFC000"/>
          </w:tcPr>
          <w:p w14:paraId="7C1AD291" w14:textId="77777777" w:rsidR="00EB5FAF" w:rsidRPr="00EB5FAF" w:rsidRDefault="00EB5FAF" w:rsidP="00382389">
            <w:pPr>
              <w:pStyle w:val="table1"/>
              <w:rPr>
                <w:rFonts w:ascii="Verdana" w:hAnsi="Verdana"/>
              </w:rPr>
            </w:pPr>
            <w:r w:rsidRPr="00EB5FAF">
              <w:rPr>
                <w:rFonts w:ascii="Verdana" w:hAnsi="Verdana"/>
              </w:rPr>
              <w:t>Terminology appearing in your Corporate Mobile Plus customer agreement entered into before 20 July 2016</w:t>
            </w:r>
          </w:p>
        </w:tc>
        <w:tc>
          <w:tcPr>
            <w:tcW w:w="4644" w:type="dxa"/>
            <w:shd w:val="clear" w:color="auto" w:fill="FFC000"/>
          </w:tcPr>
          <w:p w14:paraId="2C0D0D59" w14:textId="77777777" w:rsidR="00EB5FAF" w:rsidRPr="00EB5FAF" w:rsidRDefault="00EB5FAF" w:rsidP="00382389">
            <w:pPr>
              <w:pStyle w:val="table1"/>
              <w:rPr>
                <w:rFonts w:ascii="Verdana" w:hAnsi="Verdana"/>
              </w:rPr>
            </w:pPr>
            <w:r w:rsidRPr="00EB5FAF">
              <w:rPr>
                <w:rFonts w:ascii="Verdana" w:hAnsi="Verdana"/>
              </w:rPr>
              <w:t>Terminology used in clause 3</w:t>
            </w:r>
          </w:p>
        </w:tc>
      </w:tr>
      <w:tr w:rsidR="00EB5FAF" w:rsidRPr="003D1386" w14:paraId="658AE215" w14:textId="77777777" w:rsidTr="00382389">
        <w:tc>
          <w:tcPr>
            <w:tcW w:w="4643" w:type="dxa"/>
            <w:shd w:val="clear" w:color="auto" w:fill="auto"/>
          </w:tcPr>
          <w:p w14:paraId="3E9B3C2E" w14:textId="77777777" w:rsidR="00EB5FAF" w:rsidRPr="00EB5FAF" w:rsidRDefault="00EB5FAF" w:rsidP="00382389">
            <w:pPr>
              <w:pStyle w:val="table2"/>
              <w:rPr>
                <w:rFonts w:ascii="Verdana" w:hAnsi="Verdana"/>
                <w:sz w:val="20"/>
              </w:rPr>
            </w:pPr>
            <w:r w:rsidRPr="00EB5FAF">
              <w:rPr>
                <w:rFonts w:ascii="Verdana" w:hAnsi="Verdana"/>
                <w:sz w:val="20"/>
              </w:rPr>
              <w:t>“Corporate Mobile Plus Plan”</w:t>
            </w:r>
          </w:p>
        </w:tc>
        <w:tc>
          <w:tcPr>
            <w:tcW w:w="4644" w:type="dxa"/>
            <w:shd w:val="clear" w:color="auto" w:fill="auto"/>
          </w:tcPr>
          <w:p w14:paraId="646082E8" w14:textId="77777777" w:rsidR="00EB5FAF" w:rsidRPr="00EB5FAF" w:rsidRDefault="00EB5FAF" w:rsidP="00382389">
            <w:pPr>
              <w:pStyle w:val="table2"/>
              <w:rPr>
                <w:rFonts w:ascii="Verdana" w:hAnsi="Verdana"/>
                <w:sz w:val="20"/>
              </w:rPr>
            </w:pPr>
            <w:r w:rsidRPr="00EB5FAF">
              <w:rPr>
                <w:rFonts w:ascii="Verdana" w:hAnsi="Verdana"/>
                <w:sz w:val="20"/>
              </w:rPr>
              <w:t>Basic $20, Entry $40, Standard $60, Professional $80, Executive $120, Data SIM $5, and Data SIM $40 Plans</w:t>
            </w:r>
          </w:p>
        </w:tc>
      </w:tr>
      <w:tr w:rsidR="00EB5FAF" w:rsidRPr="003D1386" w14:paraId="16EE572D" w14:textId="77777777" w:rsidTr="00382389">
        <w:tc>
          <w:tcPr>
            <w:tcW w:w="4643" w:type="dxa"/>
            <w:shd w:val="clear" w:color="auto" w:fill="auto"/>
          </w:tcPr>
          <w:p w14:paraId="1C103DBC" w14:textId="77777777" w:rsidR="00EB5FAF" w:rsidRPr="00EB5FAF" w:rsidRDefault="00EB5FAF" w:rsidP="00382389">
            <w:pPr>
              <w:pStyle w:val="table2"/>
              <w:rPr>
                <w:rFonts w:ascii="Verdana" w:hAnsi="Verdana"/>
                <w:sz w:val="20"/>
              </w:rPr>
            </w:pPr>
            <w:r w:rsidRPr="00EB5FAF">
              <w:rPr>
                <w:rFonts w:ascii="Verdana" w:hAnsi="Verdana"/>
                <w:sz w:val="20"/>
              </w:rPr>
              <w:t>“Corporate Mobile Plus Mobility-as-a-Service Plan”</w:t>
            </w:r>
          </w:p>
        </w:tc>
        <w:tc>
          <w:tcPr>
            <w:tcW w:w="4644" w:type="dxa"/>
            <w:shd w:val="clear" w:color="auto" w:fill="auto"/>
          </w:tcPr>
          <w:p w14:paraId="361D23AC" w14:textId="77777777" w:rsidR="00EB5FAF" w:rsidRPr="00EB5FAF" w:rsidRDefault="00EB5FAF" w:rsidP="00382389">
            <w:pPr>
              <w:pStyle w:val="table2"/>
              <w:rPr>
                <w:rFonts w:ascii="Verdana" w:hAnsi="Verdana"/>
                <w:sz w:val="20"/>
              </w:rPr>
            </w:pPr>
            <w:r w:rsidRPr="00EB5FAF">
              <w:rPr>
                <w:rFonts w:ascii="Verdana" w:hAnsi="Verdana"/>
                <w:sz w:val="20"/>
              </w:rPr>
              <w:t>National and Global Plans</w:t>
            </w:r>
          </w:p>
        </w:tc>
      </w:tr>
    </w:tbl>
    <w:p w14:paraId="20DE3B7A" w14:textId="3E6733A7" w:rsidR="00EB5FAF" w:rsidRDefault="00EB5FAF" w:rsidP="00EB5FAF"/>
    <w:p w14:paraId="62C0ABDF" w14:textId="77777777" w:rsidR="00EB5FAF" w:rsidRPr="003D1386" w:rsidRDefault="00EB5FAF" w:rsidP="00EB5FAF">
      <w:pPr>
        <w:pStyle w:val="SubHead"/>
      </w:pPr>
      <w:bookmarkStart w:id="6" w:name="_Toc448916328"/>
      <w:r w:rsidRPr="003D1386">
        <w:t>Mobile handsets</w:t>
      </w:r>
      <w:bookmarkEnd w:id="6"/>
    </w:p>
    <w:p w14:paraId="148E7144" w14:textId="77777777" w:rsidR="00EB5FAF" w:rsidRPr="003D1386" w:rsidRDefault="00EB5FAF" w:rsidP="00EB5FAF">
      <w:pPr>
        <w:pStyle w:val="Heading2"/>
        <w:widowControl w:val="0"/>
        <w:numPr>
          <w:ilvl w:val="1"/>
          <w:numId w:val="6"/>
        </w:numPr>
        <w:spacing w:before="0" w:after="240"/>
      </w:pPr>
      <w:r w:rsidRPr="003D1386">
        <w:t>For each Corporate Mobile Plus Plan, you must either:</w:t>
      </w:r>
    </w:p>
    <w:p w14:paraId="379BFCB8"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bring your own compatible mobile handset; or</w:t>
      </w:r>
    </w:p>
    <w:p w14:paraId="763AEF77"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purchase one from us.</w:t>
      </w:r>
    </w:p>
    <w:p w14:paraId="4E019327" w14:textId="77777777" w:rsidR="00EB5FAF" w:rsidRPr="003D1386" w:rsidRDefault="00EB5FAF" w:rsidP="00EB5FAF">
      <w:pPr>
        <w:pStyle w:val="Heading2"/>
        <w:widowControl w:val="0"/>
        <w:numPr>
          <w:ilvl w:val="1"/>
          <w:numId w:val="6"/>
        </w:numPr>
        <w:spacing w:before="0" w:after="240"/>
      </w:pPr>
      <w:r w:rsidRPr="003D1386">
        <w:t>Where permitted in your Corporate Mobile Plus customer agreement, you may purchase an eligible mobile handset on a 24 month Mobile Repayment Option (</w:t>
      </w:r>
      <w:r w:rsidRPr="00C84D92">
        <w:rPr>
          <w:b/>
        </w:rPr>
        <w:t>MRO</w:t>
      </w:r>
      <w:r w:rsidRPr="003D1386">
        <w:t xml:space="preserve">) when you connect a mobile service to an eligible Corporate Mobile Plus Plan. The MRO terms and conditions are set out in </w:t>
      </w:r>
      <w:hyperlink r:id="rId21" w:history="1">
        <w:r w:rsidRPr="003D1386">
          <w:rPr>
            <w:rStyle w:val="Hyperlink"/>
          </w:rPr>
          <w:t>Part C – Special Promotion of the Telstra Mobile Section of Our Customer Terms</w:t>
        </w:r>
      </w:hyperlink>
      <w:r w:rsidRPr="003D1386">
        <w:t xml:space="preserve">. </w:t>
      </w:r>
    </w:p>
    <w:p w14:paraId="2D7720CD" w14:textId="77777777" w:rsidR="00EB5FAF" w:rsidRPr="003D1386" w:rsidRDefault="00EB5FAF" w:rsidP="00EB5FAF">
      <w:pPr>
        <w:pStyle w:val="SubHead"/>
      </w:pPr>
      <w:bookmarkStart w:id="7" w:name="_Toc448916330"/>
      <w:r w:rsidRPr="003D1386">
        <w:t>Payment and eligible usage</w:t>
      </w:r>
      <w:bookmarkEnd w:id="7"/>
    </w:p>
    <w:p w14:paraId="4E3225F3" w14:textId="77777777" w:rsidR="00EB5FAF" w:rsidRPr="003D1386" w:rsidRDefault="00EB5FAF" w:rsidP="00EB5FAF">
      <w:pPr>
        <w:pStyle w:val="Heading2"/>
        <w:widowControl w:val="0"/>
        <w:numPr>
          <w:ilvl w:val="1"/>
          <w:numId w:val="6"/>
        </w:numPr>
        <w:spacing w:before="0" w:after="240"/>
      </w:pPr>
      <w:r w:rsidRPr="003D1386">
        <w:t>Each month, you must pay us:</w:t>
      </w:r>
    </w:p>
    <w:p w14:paraId="74E6AE12"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the minimum monthly access charges for your mobile services connected to a Corporate Mobile Plus Plan;</w:t>
      </w:r>
    </w:p>
    <w:p w14:paraId="50B0DDBA"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 xml:space="preserve">any minimum monthly charges for your Committed Data Plans; </w:t>
      </w:r>
    </w:p>
    <w:p w14:paraId="2C3705B5"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any excess use or Eligible Usage not included in your Corporate Mobile Plus Plan (subject to our FairPlay Policy);</w:t>
      </w:r>
    </w:p>
    <w:p w14:paraId="55E2C220"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any MRO handset repayments; and</w:t>
      </w:r>
    </w:p>
    <w:p w14:paraId="773E2980"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any other services that you use through your Corporate Mobile Plus Plans.</w:t>
      </w:r>
    </w:p>
    <w:p w14:paraId="26CB1893" w14:textId="77777777" w:rsidR="00EB5FAF" w:rsidRPr="003D1386" w:rsidRDefault="00EB5FAF" w:rsidP="00EB5FAF">
      <w:pPr>
        <w:pStyle w:val="Heading2"/>
        <w:widowControl w:val="0"/>
        <w:numPr>
          <w:ilvl w:val="1"/>
          <w:numId w:val="6"/>
        </w:numPr>
        <w:spacing w:before="0" w:after="240"/>
      </w:pPr>
      <w:r w:rsidRPr="003D1386">
        <w:t xml:space="preserve">Your Corporate Mobile Plus Plan may include a monthly allowance </w:t>
      </w:r>
      <w:r>
        <w:t>(</w:t>
      </w:r>
      <w:r w:rsidRPr="007C1C68">
        <w:rPr>
          <w:b/>
        </w:rPr>
        <w:t>Monthly Call Allowance</w:t>
      </w:r>
      <w:r>
        <w:t xml:space="preserve">) </w:t>
      </w:r>
      <w:r w:rsidRPr="003D1386">
        <w:t>to use towards the following usage:</w:t>
      </w:r>
    </w:p>
    <w:p w14:paraId="587A89A8"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 xml:space="preserve">most types of national direct dial voice calls, video calls, SMS and MMS messages made in Australia to standard Australian numbers; </w:t>
      </w:r>
    </w:p>
    <w:p w14:paraId="6FFFCC18"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lastRenderedPageBreak/>
        <w:t>voice calls to 1800, 11xx, 13xx, and 12xx numbers (excluding Sensis® 1234, 12455 and 12456 services);</w:t>
      </w:r>
    </w:p>
    <w:p w14:paraId="43459B4C"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standard national SMS and MMS messages sent to mobile numbers on an Australian network within Australia;</w:t>
      </w:r>
    </w:p>
    <w:p w14:paraId="60637FB5"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 xml:space="preserve">calls and SMS to most satellite mobiles; </w:t>
      </w:r>
    </w:p>
    <w:p w14:paraId="64273F6F"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MessageBank® Standard diversion and retrieval calls;</w:t>
      </w:r>
    </w:p>
    <w:p w14:paraId="50B968C1"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 xml:space="preserve">diversion of calls to fixed numbers in Australia with an 02, 03, 07 or 08 area code and mobile numbers in Australia commencing with 04xx but excluding diversion to any other number; </w:t>
      </w:r>
    </w:p>
    <w:p w14:paraId="73F48F60"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if you have a Corporate Mobile Plus Basic $20 Plan, eligible data usage in Australia and standard international direct dialling calls from Australia (including connection charges); and</w:t>
      </w:r>
    </w:p>
    <w:p w14:paraId="082D38DC"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any other calls or messages as determined by us,</w:t>
      </w:r>
    </w:p>
    <w:p w14:paraId="49EB0173" w14:textId="77777777" w:rsidR="00EB5FAF" w:rsidRPr="003D1386" w:rsidRDefault="00EB5FAF" w:rsidP="00EB5FAF">
      <w:pPr>
        <w:pStyle w:val="SubHead"/>
        <w:ind w:left="710"/>
      </w:pPr>
      <w:r w:rsidRPr="003D1386">
        <w:t>(</w:t>
      </w:r>
      <w:r w:rsidRPr="003D1386">
        <w:rPr>
          <w:caps/>
        </w:rPr>
        <w:t>Eligible Usage</w:t>
      </w:r>
      <w:r w:rsidRPr="003D1386">
        <w:t xml:space="preserve">). </w:t>
      </w:r>
    </w:p>
    <w:p w14:paraId="57A37516" w14:textId="77777777" w:rsidR="00EB5FAF" w:rsidRPr="003D1386" w:rsidRDefault="00EB5FAF" w:rsidP="00EB5FAF">
      <w:pPr>
        <w:pStyle w:val="Heading2"/>
        <w:widowControl w:val="0"/>
        <w:numPr>
          <w:ilvl w:val="1"/>
          <w:numId w:val="6"/>
        </w:numPr>
        <w:spacing w:before="0" w:after="240"/>
      </w:pPr>
      <w:r w:rsidRPr="003D1386">
        <w:t xml:space="preserve">Eligible Usage cannot be used for other call types including information calls, Call Answers, Memo and Phone Page, third party content calls, international calls and messages, international roaming calls and messages, premium SMS and MMS, reverse charges calls, calls to Sensis® 1234, 12455, 12456 and calls to 19xx, calls to Pivotel mobiles and any other calls or messages as determined by us. </w:t>
      </w:r>
    </w:p>
    <w:p w14:paraId="1C91116F" w14:textId="7CA27F39" w:rsidR="00EB5FAF" w:rsidRDefault="00EB5FAF" w:rsidP="00EB5FAF">
      <w:pPr>
        <w:pStyle w:val="Heading2"/>
        <w:widowControl w:val="0"/>
        <w:numPr>
          <w:ilvl w:val="1"/>
          <w:numId w:val="6"/>
        </w:numPr>
        <w:spacing w:before="0" w:after="240"/>
      </w:pPr>
      <w:r w:rsidRPr="003D1386">
        <w:t xml:space="preserve">Unless otherwise set out in your Corporate Mobile Plus customer agreement, the included monthly allowances for Eligible Usage for your Corporate Mobile Plus Plans are described further in clause </w:t>
      </w:r>
      <w:r w:rsidRPr="003D1386">
        <w:fldChar w:fldCharType="begin"/>
      </w:r>
      <w:r w:rsidRPr="003D1386">
        <w:instrText xml:space="preserve"> REF _Ref456603563 \r \h  \* MERGEFORMAT </w:instrText>
      </w:r>
      <w:r w:rsidRPr="003D1386">
        <w:fldChar w:fldCharType="separate"/>
      </w:r>
      <w:r w:rsidR="006F603C">
        <w:t>2.42</w:t>
      </w:r>
      <w:r w:rsidRPr="003D1386">
        <w:fldChar w:fldCharType="end"/>
      </w:r>
      <w:r w:rsidRPr="003D1386">
        <w:t xml:space="preserve">. </w:t>
      </w:r>
    </w:p>
    <w:p w14:paraId="183571ED" w14:textId="04568AAC" w:rsidR="00EB5FAF" w:rsidRDefault="00EB5FAF" w:rsidP="00EB5FAF">
      <w:pPr>
        <w:pStyle w:val="Heading2"/>
        <w:widowControl w:val="0"/>
        <w:numPr>
          <w:ilvl w:val="1"/>
          <w:numId w:val="6"/>
        </w:numPr>
        <w:spacing w:before="0" w:after="240"/>
      </w:pPr>
      <w:r w:rsidRPr="003D1386">
        <w:t>Any unused allowance expires at the end of each month.</w:t>
      </w:r>
    </w:p>
    <w:p w14:paraId="77314D6B" w14:textId="77777777" w:rsidR="00EB5FAF" w:rsidRPr="003D1386" w:rsidRDefault="00EB5FAF" w:rsidP="00EB5FAF">
      <w:pPr>
        <w:pStyle w:val="SubHead"/>
      </w:pPr>
      <w:bookmarkStart w:id="8" w:name="_Toc448916331"/>
      <w:r w:rsidRPr="003D1386">
        <w:t>FairPlay Policy</w:t>
      </w:r>
      <w:bookmarkEnd w:id="8"/>
    </w:p>
    <w:p w14:paraId="3973EE85" w14:textId="385EDAD3" w:rsidR="00EB5FAF" w:rsidRPr="003D1386" w:rsidRDefault="00EB5FAF" w:rsidP="00EB5FAF">
      <w:pPr>
        <w:pStyle w:val="Heading2"/>
        <w:widowControl w:val="0"/>
        <w:numPr>
          <w:ilvl w:val="1"/>
          <w:numId w:val="6"/>
        </w:numPr>
        <w:spacing w:before="0" w:after="240"/>
      </w:pPr>
      <w:bookmarkStart w:id="9" w:name="_Ref448912030"/>
      <w:r w:rsidRPr="003D1386">
        <w:t xml:space="preserve">Our FairPlay Policy – Business Use (as set out in </w:t>
      </w:r>
      <w:hyperlink r:id="rId22" w:history="1">
        <w:r w:rsidRPr="003D1386">
          <w:rPr>
            <w:rStyle w:val="Hyperlink"/>
          </w:rPr>
          <w:t>Part A - General of the Telstra Mobile section of Our Customer Terms</w:t>
        </w:r>
      </w:hyperlink>
      <w:r w:rsidRPr="003D1386">
        <w:t>) applies to Corporate Mobile Plus Plans except that terms relating to excessive use do not apply to any unlimited Eligible Usage of a Corporate Mobile Plus Plan.</w:t>
      </w:r>
      <w:bookmarkEnd w:id="9"/>
      <w:r w:rsidRPr="003D1386">
        <w:t xml:space="preserve"> </w:t>
      </w:r>
      <w:proofErr w:type="gramStart"/>
      <w:r w:rsidRPr="003D1386">
        <w:t>For the purpose of</w:t>
      </w:r>
      <w:proofErr w:type="gramEnd"/>
      <w:r w:rsidRPr="003D1386">
        <w:t xml:space="preserve"> this clause, data volumes are calculated in accordance with clause </w:t>
      </w:r>
      <w:r w:rsidRPr="003D1386">
        <w:fldChar w:fldCharType="begin"/>
      </w:r>
      <w:r w:rsidRPr="003D1386">
        <w:instrText xml:space="preserve"> REF _Ref448913970 \r \h  \* MERGEFORMAT </w:instrText>
      </w:r>
      <w:r w:rsidRPr="003D1386">
        <w:fldChar w:fldCharType="separate"/>
      </w:r>
      <w:r w:rsidR="006F603C">
        <w:t>2.33</w:t>
      </w:r>
      <w:r w:rsidRPr="003D1386">
        <w:fldChar w:fldCharType="end"/>
      </w:r>
      <w:r w:rsidRPr="003D1386">
        <w:t>.</w:t>
      </w:r>
    </w:p>
    <w:p w14:paraId="2F92267B" w14:textId="77777777" w:rsidR="00EB5FAF" w:rsidRPr="003D1386" w:rsidRDefault="00EB5FAF" w:rsidP="00EB5FAF">
      <w:pPr>
        <w:pStyle w:val="Heading2"/>
        <w:widowControl w:val="0"/>
        <w:numPr>
          <w:ilvl w:val="1"/>
          <w:numId w:val="6"/>
        </w:numPr>
        <w:spacing w:before="0" w:after="240"/>
      </w:pPr>
      <w:bookmarkStart w:id="10" w:name="_Ref448931375"/>
      <w:r w:rsidRPr="003D1386">
        <w:t>In addition to the Our FairPlay Policy, you must not use, or allow others to use any service connected to a Corporate Mobile Plus Plan:</w:t>
      </w:r>
      <w:bookmarkEnd w:id="10"/>
    </w:p>
    <w:p w14:paraId="14DAFF13"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as a point of interconnect for calls from overseas into Australia;</w:t>
      </w:r>
    </w:p>
    <w:p w14:paraId="30782CD5"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in connection with any machine-to-machine applications (i.e. any automated telemetry, telematics or telemetrics application which links two or more systems or devices with a mobile data connection);</w:t>
      </w:r>
    </w:p>
    <w:p w14:paraId="0D5CB250"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to establish any point to point connections with another modem; or</w:t>
      </w:r>
    </w:p>
    <w:p w14:paraId="38314CC1"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 xml:space="preserve">to send messages to any numbers that we reasonably believe have been set up to enable you or another person to commercially exploit </w:t>
      </w:r>
      <w:r w:rsidRPr="003D1386">
        <w:lastRenderedPageBreak/>
        <w:t>our services.</w:t>
      </w:r>
    </w:p>
    <w:p w14:paraId="565A4999" w14:textId="01ADF5FE" w:rsidR="00EB5FAF" w:rsidRPr="003D1386" w:rsidRDefault="00EB5FAF" w:rsidP="00EB5FAF">
      <w:pPr>
        <w:pStyle w:val="Heading2"/>
        <w:widowControl w:val="0"/>
        <w:numPr>
          <w:ilvl w:val="1"/>
          <w:numId w:val="6"/>
        </w:numPr>
        <w:spacing w:before="0" w:after="240"/>
      </w:pPr>
      <w:bookmarkStart w:id="11" w:name="_Ref448912036"/>
      <w:r w:rsidRPr="003D1386">
        <w:t xml:space="preserve">Any use of a Corporate Mobile Plus Plan in a way described in clause </w:t>
      </w:r>
      <w:r w:rsidRPr="003D1386">
        <w:fldChar w:fldCharType="begin"/>
      </w:r>
      <w:r w:rsidRPr="003D1386">
        <w:instrText xml:space="preserve"> REF _Ref448931375 \r \h  \* MERGEFORMAT </w:instrText>
      </w:r>
      <w:r w:rsidRPr="003D1386">
        <w:fldChar w:fldCharType="separate"/>
      </w:r>
      <w:r w:rsidR="006F603C">
        <w:t>2.16</w:t>
      </w:r>
      <w:r w:rsidRPr="003D1386">
        <w:fldChar w:fldCharType="end"/>
      </w:r>
      <w:r w:rsidRPr="003D1386">
        <w:t xml:space="preserve"> is a material breach incapable of remedy and we may immediately suspend or cancel your service without notice to you.</w:t>
      </w:r>
      <w:bookmarkEnd w:id="11"/>
    </w:p>
    <w:p w14:paraId="60C66957" w14:textId="77777777" w:rsidR="00EB5FAF" w:rsidRPr="003D1386" w:rsidRDefault="00EB5FAF" w:rsidP="00EB5FAF">
      <w:pPr>
        <w:pStyle w:val="SubHead"/>
      </w:pPr>
      <w:bookmarkStart w:id="12" w:name="_Toc448916332"/>
      <w:r w:rsidRPr="003D1386">
        <w:t>International calls allowance</w:t>
      </w:r>
      <w:bookmarkEnd w:id="12"/>
    </w:p>
    <w:p w14:paraId="36C42AFD" w14:textId="35C1D6C5" w:rsidR="00EB5FAF" w:rsidRPr="003D1386" w:rsidRDefault="00EB5FAF" w:rsidP="00EB5FAF">
      <w:pPr>
        <w:pStyle w:val="Heading2"/>
        <w:widowControl w:val="0"/>
        <w:numPr>
          <w:ilvl w:val="1"/>
          <w:numId w:val="6"/>
        </w:numPr>
        <w:spacing w:before="0" w:after="240"/>
      </w:pPr>
      <w:r w:rsidRPr="003D1386">
        <w:t>Your Corporate Mobile Plus Plan may include a monthly allowance for calls and SMS to standard international fixed and mobile numbers (</w:t>
      </w:r>
      <w:r w:rsidRPr="007C1C68">
        <w:rPr>
          <w:b/>
        </w:rPr>
        <w:t>Monthly International Call Allowance</w:t>
      </w:r>
      <w:r w:rsidRPr="003D1386">
        <w:t xml:space="preserve">) as set out in </w:t>
      </w:r>
      <w:r w:rsidRPr="003D1386">
        <w:fldChar w:fldCharType="begin"/>
      </w:r>
      <w:r w:rsidRPr="003D1386">
        <w:instrText xml:space="preserve"> REF _Ref456603563 \r \h  \* MERGEFORMAT </w:instrText>
      </w:r>
      <w:r w:rsidRPr="003D1386">
        <w:fldChar w:fldCharType="separate"/>
      </w:r>
      <w:r w:rsidR="006F603C">
        <w:t>2.42</w:t>
      </w:r>
      <w:r w:rsidRPr="003D1386">
        <w:fldChar w:fldCharType="end"/>
      </w:r>
      <w:r w:rsidRPr="003D1386">
        <w:t xml:space="preserve">. </w:t>
      </w:r>
    </w:p>
    <w:p w14:paraId="1EB1F378" w14:textId="77777777" w:rsidR="00EB5FAF" w:rsidRPr="003D1386" w:rsidRDefault="00EB5FAF" w:rsidP="00EB5FAF">
      <w:pPr>
        <w:pStyle w:val="Heading2"/>
        <w:widowControl w:val="0"/>
        <w:numPr>
          <w:ilvl w:val="1"/>
          <w:numId w:val="6"/>
        </w:numPr>
        <w:spacing w:before="0" w:after="240"/>
      </w:pPr>
      <w:r w:rsidRPr="003D1386">
        <w:t>Any unused Monthly International Call Allowance expires at the end of each month.</w:t>
      </w:r>
    </w:p>
    <w:p w14:paraId="2BD607FB" w14:textId="77777777" w:rsidR="00EB5FAF" w:rsidRPr="003D1386" w:rsidRDefault="00EB5FAF" w:rsidP="00EB5FAF">
      <w:pPr>
        <w:pStyle w:val="SubHead"/>
      </w:pPr>
      <w:bookmarkStart w:id="13" w:name="_Toc448916333"/>
      <w:r w:rsidRPr="003D1386">
        <w:t>International roaming allowance</w:t>
      </w:r>
      <w:bookmarkEnd w:id="13"/>
    </w:p>
    <w:p w14:paraId="4CFCE34D" w14:textId="3C76BFB7" w:rsidR="00EB5FAF" w:rsidRPr="003D1386" w:rsidRDefault="00EB5FAF" w:rsidP="00EB5FAF">
      <w:pPr>
        <w:pStyle w:val="Heading2"/>
        <w:widowControl w:val="0"/>
        <w:numPr>
          <w:ilvl w:val="1"/>
          <w:numId w:val="6"/>
        </w:numPr>
        <w:spacing w:before="0" w:after="240"/>
      </w:pPr>
      <w:r w:rsidRPr="00F27E23">
        <w:t xml:space="preserve">Your Corporate Mobile Plus Plan’s monthly access charge may include an overseas roaming allowance for voice calls, SMS and/or data usage in Eligible Countries as set out in </w:t>
      </w:r>
      <w:r w:rsidRPr="00F27E23">
        <w:fldChar w:fldCharType="begin"/>
      </w:r>
      <w:r w:rsidRPr="00F27E23">
        <w:instrText xml:space="preserve"> REF _Ref456603563 \r \h </w:instrText>
      </w:r>
      <w:r>
        <w:instrText xml:space="preserve"> \* MERGEFORMAT </w:instrText>
      </w:r>
      <w:r w:rsidRPr="00F27E23">
        <w:fldChar w:fldCharType="separate"/>
      </w:r>
      <w:r w:rsidR="006F603C">
        <w:t>2.42</w:t>
      </w:r>
      <w:r w:rsidRPr="00F27E23">
        <w:fldChar w:fldCharType="end"/>
      </w:r>
      <w:r w:rsidRPr="00F27E23">
        <w:t xml:space="preserve"> (</w:t>
      </w:r>
      <w:r w:rsidRPr="00F27E23">
        <w:rPr>
          <w:rStyle w:val="DefinedTerm"/>
        </w:rPr>
        <w:t>Monthly International Roaming Allowance</w:t>
      </w:r>
      <w:r w:rsidRPr="00F27E23">
        <w:t xml:space="preserve">).  The list of Eligible Countries is set out in clause 10 of </w:t>
      </w:r>
      <w:hyperlink r:id="rId23" w:history="1">
        <w:r w:rsidRPr="00F27E23">
          <w:rPr>
            <w:rStyle w:val="Hyperlink"/>
          </w:rPr>
          <w:t>Part I – Heading Overseas – International Roaming of the Telstra Mobile Section of Our Customer Terms</w:t>
        </w:r>
      </w:hyperlink>
      <w:r w:rsidRPr="00F27E23">
        <w:t xml:space="preserve">.  </w:t>
      </w:r>
      <w:r w:rsidRPr="003D1386">
        <w:t xml:space="preserve">Any unused </w:t>
      </w:r>
      <w:r>
        <w:t xml:space="preserve">Monthly International Roaming </w:t>
      </w:r>
      <w:r w:rsidRPr="003D1386">
        <w:t>Allowance expires at the end of each month.</w:t>
      </w:r>
    </w:p>
    <w:p w14:paraId="1CA8E6E1" w14:textId="166F16B5" w:rsidR="00EB5FAF" w:rsidRDefault="00EB5FAF" w:rsidP="00EB5FAF">
      <w:pPr>
        <w:pStyle w:val="Heading2"/>
        <w:widowControl w:val="0"/>
        <w:numPr>
          <w:ilvl w:val="1"/>
          <w:numId w:val="6"/>
        </w:numPr>
        <w:spacing w:before="0" w:after="240"/>
      </w:pPr>
      <w:r>
        <w:t xml:space="preserve">If you exceed your Monthly International Roaming Allowance, subject to clause </w:t>
      </w:r>
      <w:r>
        <w:fldChar w:fldCharType="begin"/>
      </w:r>
      <w:r>
        <w:instrText xml:space="preserve"> REF _Ref456603563 \r \h </w:instrText>
      </w:r>
      <w:r>
        <w:fldChar w:fldCharType="separate"/>
      </w:r>
      <w:r w:rsidR="006F603C">
        <w:t>2.42</w:t>
      </w:r>
      <w:r>
        <w:fldChar w:fldCharType="end"/>
      </w:r>
      <w:r>
        <w:t xml:space="preserve">, you will be charged for any additional data usage in an Eligible Country and standard international roaming charges for all other usage and for all usage in countries other than Eligible Countries in accordance with the charges set out in </w:t>
      </w:r>
      <w:hyperlink r:id="rId24" w:history="1">
        <w:r w:rsidRPr="00332B07">
          <w:rPr>
            <w:rStyle w:val="Hyperlink"/>
          </w:rPr>
          <w:t>Part I – Heading Overseas – International Roaming of the Telstra Mobile Section of Our Customer Terms</w:t>
        </w:r>
      </w:hyperlink>
      <w:r>
        <w:t>.</w:t>
      </w:r>
    </w:p>
    <w:p w14:paraId="16ADFA6A" w14:textId="77777777" w:rsidR="00EB5FAF" w:rsidRDefault="00EB5FAF" w:rsidP="00EB5FAF">
      <w:pPr>
        <w:pStyle w:val="Heading2"/>
        <w:widowControl w:val="0"/>
        <w:numPr>
          <w:ilvl w:val="1"/>
          <w:numId w:val="6"/>
        </w:numPr>
        <w:spacing w:before="0" w:after="240"/>
      </w:pPr>
      <w:r>
        <w:t>The included allowances provided with your Corporate Mobile Plus Plan (including your unlimited Monthly Call Allowance, your Monthly International Call Allowance and Monthly International Roaming Allowance (if any)) cannot be shared between any other services connected on your Corporate Mobile Plus account.</w:t>
      </w:r>
    </w:p>
    <w:p w14:paraId="2B6C8296" w14:textId="77777777" w:rsidR="00EB5FAF" w:rsidRDefault="00EB5FAF" w:rsidP="00EB5FAF">
      <w:pPr>
        <w:pStyle w:val="SubHead"/>
      </w:pPr>
      <w:r w:rsidRPr="003D1386">
        <w:t xml:space="preserve">International roaming </w:t>
      </w:r>
      <w:r>
        <w:t xml:space="preserve">DAY PASS </w:t>
      </w:r>
    </w:p>
    <w:p w14:paraId="7CDA724E" w14:textId="77777777" w:rsidR="00EB5FAF" w:rsidRPr="003D1386" w:rsidRDefault="00EB5FAF" w:rsidP="00EB5FAF">
      <w:pPr>
        <w:pStyle w:val="Heading2"/>
        <w:widowControl w:val="0"/>
        <w:numPr>
          <w:ilvl w:val="1"/>
          <w:numId w:val="6"/>
        </w:numPr>
        <w:spacing w:before="0" w:after="240"/>
      </w:pPr>
      <w:r>
        <w:t>On and from 21 May 2018, if international roaming is activated on the mobile services connected to the Corporate Mobile Plus Plans on your account at the time you connected these mobile services to the Corporate Mobile Plus Plans, then you also agree to take up an International Roaming $10 Day Pass (</w:t>
      </w:r>
      <w:r w:rsidRPr="00E21EDC">
        <w:rPr>
          <w:b/>
        </w:rPr>
        <w:t>IR Day Pass</w:t>
      </w:r>
      <w:r>
        <w:t xml:space="preserve">) for each mobile service connected to a Corporate Mobile Plus Plan on your account (except Executive and Global Plans) on the terms set out in clause 12 of </w:t>
      </w:r>
      <w:hyperlink r:id="rId25" w:history="1">
        <w:r w:rsidRPr="00332B07">
          <w:rPr>
            <w:rStyle w:val="Hyperlink"/>
          </w:rPr>
          <w:t>Part I – Heading Overseas – International Roaming of the Telstra Mobile Section of Our Customer Terms</w:t>
        </w:r>
      </w:hyperlink>
      <w:r>
        <w:t xml:space="preserve"> (</w:t>
      </w:r>
      <w:r w:rsidRPr="00BC4AAC">
        <w:rPr>
          <w:b/>
        </w:rPr>
        <w:t>IR Day Pass Terms</w:t>
      </w:r>
      <w:r>
        <w:t>).  The IR Day Pass will be charged to your account when it is activated according to the IR Day Pass Terms.</w:t>
      </w:r>
    </w:p>
    <w:p w14:paraId="636014EB" w14:textId="77777777" w:rsidR="00EB5FAF" w:rsidRPr="003D1386" w:rsidRDefault="00EB5FAF" w:rsidP="00EB5FAF">
      <w:pPr>
        <w:pStyle w:val="SubHead"/>
      </w:pPr>
      <w:bookmarkStart w:id="14" w:name="_Toc448916335"/>
      <w:r w:rsidRPr="003D1386">
        <w:t>Service Level Packs</w:t>
      </w:r>
      <w:bookmarkEnd w:id="14"/>
    </w:p>
    <w:p w14:paraId="780F5B80" w14:textId="77777777" w:rsidR="00EB5FAF" w:rsidRPr="003D1386" w:rsidRDefault="00EB5FAF" w:rsidP="00EB5FAF">
      <w:pPr>
        <w:pStyle w:val="Heading2"/>
        <w:widowControl w:val="0"/>
        <w:numPr>
          <w:ilvl w:val="1"/>
          <w:numId w:val="6"/>
        </w:numPr>
        <w:spacing w:before="0" w:after="240"/>
      </w:pPr>
      <w:r w:rsidRPr="003D1386">
        <w:t xml:space="preserve">If your Corporate Mobile Plus Plan has a minimum monthly access charge of $40 or more (excluding Data SIM Plans), then you can choose to have a MessageBank® Plus Pack or Voice2Text Pack (each a </w:t>
      </w:r>
      <w:r w:rsidRPr="00C84D92">
        <w:rPr>
          <w:b/>
        </w:rPr>
        <w:t>Service Level Pack</w:t>
      </w:r>
      <w:r w:rsidRPr="003D1386">
        <w:t xml:space="preserve">). </w:t>
      </w:r>
      <w:r w:rsidRPr="003D1386">
        <w:lastRenderedPageBreak/>
        <w:t xml:space="preserve">Your handset must have iOS 4.3 or above to use MessageBank Plus. </w:t>
      </w:r>
    </w:p>
    <w:p w14:paraId="00363F6E" w14:textId="77777777" w:rsidR="00EB5FAF" w:rsidRPr="003D1386" w:rsidRDefault="00EB5FAF" w:rsidP="00EB5FAF">
      <w:pPr>
        <w:pStyle w:val="Heading2"/>
        <w:widowControl w:val="0"/>
        <w:numPr>
          <w:ilvl w:val="1"/>
          <w:numId w:val="6"/>
        </w:numPr>
        <w:spacing w:before="0" w:after="240"/>
      </w:pPr>
      <w:r w:rsidRPr="003D1386">
        <w:t>You may cancel a Service Level Pack at any time.</w:t>
      </w:r>
    </w:p>
    <w:p w14:paraId="3C2C113D" w14:textId="77777777" w:rsidR="00EB5FAF" w:rsidRPr="003D1386" w:rsidRDefault="00EB5FAF" w:rsidP="00EB5FAF">
      <w:pPr>
        <w:pStyle w:val="Heading2"/>
        <w:widowControl w:val="0"/>
        <w:numPr>
          <w:ilvl w:val="1"/>
          <w:numId w:val="6"/>
        </w:numPr>
        <w:spacing w:before="0" w:after="240"/>
      </w:pPr>
      <w:r w:rsidRPr="003D1386">
        <w:t>We do not charge you a monthly access fee</w:t>
      </w:r>
      <w:r w:rsidRPr="003D1386" w:rsidDel="00C27F56">
        <w:t xml:space="preserve"> </w:t>
      </w:r>
      <w:r w:rsidRPr="003D1386">
        <w:t xml:space="preserve">to use MessageBank Standard with your Corporate Mobile Plus Plan. Other MessageBank Standard charges continue to apply and are set out in </w:t>
      </w:r>
      <w:hyperlink r:id="rId26" w:history="1">
        <w:r w:rsidRPr="003D1386">
          <w:rPr>
            <w:rStyle w:val="Hyperlink"/>
          </w:rPr>
          <w:t>Part F – Managing Calls of the Telstra Mobile section of Our Customer Terms.</w:t>
        </w:r>
      </w:hyperlink>
    </w:p>
    <w:p w14:paraId="019E266F" w14:textId="77777777" w:rsidR="00EB5FAF" w:rsidRPr="003D1386" w:rsidRDefault="00EB5FAF" w:rsidP="00EB5FAF">
      <w:pPr>
        <w:pStyle w:val="SubHead"/>
      </w:pPr>
      <w:bookmarkStart w:id="15" w:name="_Toc448916336"/>
      <w:r w:rsidRPr="003D1386">
        <w:t>Data usage</w:t>
      </w:r>
      <w:bookmarkEnd w:id="15"/>
    </w:p>
    <w:p w14:paraId="2B3526F3" w14:textId="77777777" w:rsidR="00EB5FAF" w:rsidRPr="003D1386" w:rsidRDefault="00EB5FAF" w:rsidP="00EB5FAF">
      <w:pPr>
        <w:pStyle w:val="Heading2"/>
        <w:widowControl w:val="0"/>
        <w:numPr>
          <w:ilvl w:val="1"/>
          <w:numId w:val="6"/>
        </w:numPr>
        <w:spacing w:before="0" w:after="240"/>
      </w:pPr>
      <w:r w:rsidRPr="003D1386">
        <w:t>In addition to our rights under the FairPlay Policy, if you exceed the monthly included data allowance in Australia for your mobile service on an eligible Corporate Mobile Plus Local or National Plan each month for three consecutive months, we may move your service to an eligible Corporate Mobile Plus National or Global Plan of the same type with the next higher minimum monthly access charge. This change to your service will apply from the next billing month, without further notice to you.</w:t>
      </w:r>
    </w:p>
    <w:p w14:paraId="3123FBB7" w14:textId="77777777" w:rsidR="00EB5FAF" w:rsidRPr="003D1386" w:rsidRDefault="00EB5FAF" w:rsidP="00EB5FAF">
      <w:pPr>
        <w:pStyle w:val="Heading2"/>
        <w:widowControl w:val="0"/>
        <w:numPr>
          <w:ilvl w:val="1"/>
          <w:numId w:val="6"/>
        </w:numPr>
        <w:spacing w:before="0" w:after="240"/>
      </w:pPr>
      <w:r w:rsidRPr="003D1386">
        <w:t>Example: if you have a National Data SIM $100 plan, and exceed your data allowance as described in this clause, we may move your service to a Global Data SIM $160 plan.</w:t>
      </w:r>
    </w:p>
    <w:p w14:paraId="4C7C6CBD" w14:textId="77777777" w:rsidR="00EB5FAF" w:rsidRPr="003D1386" w:rsidRDefault="00EB5FAF" w:rsidP="00EB5FAF">
      <w:pPr>
        <w:pStyle w:val="Heading2"/>
        <w:widowControl w:val="0"/>
        <w:numPr>
          <w:ilvl w:val="1"/>
          <w:numId w:val="6"/>
        </w:numPr>
        <w:spacing w:before="0" w:after="240"/>
      </w:pPr>
      <w:r w:rsidRPr="003D1386">
        <w:t>If we reasonably believe that you are in breach of our FairPlay Policy due to excessive data use on your Local, National or Global Plan, we reserve the right (but do not automatically) charge the following standard applicable retail rates for data use exceeding your FairPlay allowances on your Local, National and Global Plans:</w:t>
      </w:r>
    </w:p>
    <w:p w14:paraId="5C647B44"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0.8c per Mb for data use in Australia; and</w:t>
      </w:r>
    </w:p>
    <w:p w14:paraId="15D9D7BE"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 xml:space="preserve">our standard international roaming charges set out in </w:t>
      </w:r>
      <w:hyperlink r:id="rId27" w:history="1">
        <w:r w:rsidRPr="003D1386">
          <w:rPr>
            <w:rStyle w:val="Hyperlink"/>
          </w:rPr>
          <w:t>Part I – Heading Overseas – International Roaming of the Telstra Mobile Section of Our Customer Terms</w:t>
        </w:r>
      </w:hyperlink>
      <w:r w:rsidRPr="003D1386">
        <w:t xml:space="preserve"> for data use outside Australia.</w:t>
      </w:r>
    </w:p>
    <w:p w14:paraId="6136470C" w14:textId="77777777" w:rsidR="00EB5FAF" w:rsidRPr="003D1386" w:rsidRDefault="00EB5FAF" w:rsidP="00EB5FAF">
      <w:pPr>
        <w:pStyle w:val="Heading2"/>
        <w:widowControl w:val="0"/>
        <w:numPr>
          <w:ilvl w:val="1"/>
          <w:numId w:val="6"/>
        </w:numPr>
        <w:spacing w:before="0" w:after="240"/>
      </w:pPr>
      <w:r w:rsidRPr="003D1386">
        <w:t>If you have a:</w:t>
      </w:r>
    </w:p>
    <w:p w14:paraId="7A508BF2" w14:textId="6F01B753"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 xml:space="preserve">Local, National or Global Plan, we consider that use exceeding the allowances in clause </w:t>
      </w:r>
      <w:r w:rsidRPr="003D1386">
        <w:fldChar w:fldCharType="begin"/>
      </w:r>
      <w:r w:rsidRPr="003D1386">
        <w:instrText xml:space="preserve"> REF _Ref456603563 \r \h  \* MERGEFORMAT </w:instrText>
      </w:r>
      <w:r w:rsidRPr="003D1386">
        <w:fldChar w:fldCharType="separate"/>
      </w:r>
      <w:r w:rsidR="006F603C">
        <w:t>2.42</w:t>
      </w:r>
      <w:r w:rsidRPr="003D1386">
        <w:fldChar w:fldCharType="end"/>
      </w:r>
      <w:r w:rsidRPr="003D1386">
        <w:t xml:space="preserve"> to be excessive use for the purpose of our FairPlay Policy; or</w:t>
      </w:r>
    </w:p>
    <w:p w14:paraId="7F15B507" w14:textId="2C18FA16"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Basic $20, Entry $40, Standard $60, Professional $80, Executive $120, Data SIM $5, Data SIM $40, X-Large Data SIM BYO or XX-Large Data SIM BYO Plan, we will charge you for data usage according to clause</w:t>
      </w:r>
      <w:r>
        <w:t xml:space="preserve"> </w:t>
      </w:r>
      <w:r>
        <w:fldChar w:fldCharType="begin"/>
      </w:r>
      <w:r>
        <w:instrText xml:space="preserve"> REF _Ref491362626 \r \h </w:instrText>
      </w:r>
      <w:r>
        <w:fldChar w:fldCharType="separate"/>
      </w:r>
      <w:r w:rsidR="006F603C">
        <w:t>2.39</w:t>
      </w:r>
      <w:r>
        <w:fldChar w:fldCharType="end"/>
      </w:r>
      <w:r w:rsidRPr="003D1386">
        <w:t>.</w:t>
      </w:r>
    </w:p>
    <w:p w14:paraId="7ECEBFF4" w14:textId="77777777" w:rsidR="00EB5FAF" w:rsidRPr="003D1386" w:rsidRDefault="00EB5FAF" w:rsidP="00EB5FAF">
      <w:pPr>
        <w:pStyle w:val="Heading2"/>
        <w:widowControl w:val="0"/>
        <w:numPr>
          <w:ilvl w:val="1"/>
          <w:numId w:val="6"/>
        </w:numPr>
        <w:spacing w:before="0" w:after="240"/>
      </w:pPr>
      <w:r w:rsidRPr="003D1386">
        <w:t>The applicable data charging method will be selected in your Corporate Mobile Plus customer agreement with us and will apply to all Basic $20, Entry $40, Standard $60, Professional $80, Executive $120, Data SIM $5 and Data SIM $40 Plans</w:t>
      </w:r>
      <w:r w:rsidRPr="003D1386" w:rsidDel="00B13783">
        <w:t xml:space="preserve"> </w:t>
      </w:r>
      <w:r w:rsidRPr="003D1386">
        <w:t>under that agreement.</w:t>
      </w:r>
    </w:p>
    <w:p w14:paraId="5CA701EE" w14:textId="77777777" w:rsidR="00EB5FAF" w:rsidRPr="003D1386" w:rsidRDefault="00EB5FAF" w:rsidP="00EB5FAF">
      <w:pPr>
        <w:pStyle w:val="Heading2"/>
        <w:widowControl w:val="0"/>
        <w:numPr>
          <w:ilvl w:val="1"/>
          <w:numId w:val="6"/>
        </w:numPr>
        <w:spacing w:before="0" w:after="240"/>
      </w:pPr>
      <w:r w:rsidRPr="003D1386">
        <w:t xml:space="preserve">Eligible data usage for the purposes of this section is described in </w:t>
      </w:r>
      <w:hyperlink r:id="rId28" w:history="1">
        <w:r>
          <w:rPr>
            <w:rStyle w:val="Hyperlink"/>
            <w:bCs w:val="0"/>
          </w:rPr>
          <w:t>Part G – Data Services of the Telstra Mobile Section of Our Customer Terms</w:t>
        </w:r>
      </w:hyperlink>
      <w:r w:rsidRPr="003D1386">
        <w:t>. We will only charge you up to $500 per month per service (Cap) for all your eligible data usage. Amounts we charge you for data usage for international roaming do not count towards the Cap amount.</w:t>
      </w:r>
    </w:p>
    <w:p w14:paraId="0E01DEE8" w14:textId="77777777" w:rsidR="00EB5FAF" w:rsidRPr="003D1386" w:rsidRDefault="00EB5FAF" w:rsidP="00EB5FAF">
      <w:pPr>
        <w:pStyle w:val="Heading2"/>
        <w:widowControl w:val="0"/>
        <w:numPr>
          <w:ilvl w:val="1"/>
          <w:numId w:val="6"/>
        </w:numPr>
        <w:spacing w:before="0" w:after="240"/>
      </w:pPr>
      <w:bookmarkStart w:id="16" w:name="_Ref448913970"/>
      <w:r w:rsidRPr="003D1386">
        <w:lastRenderedPageBreak/>
        <w:t>When calculating data volumes in this section:</w:t>
      </w:r>
      <w:bookmarkEnd w:id="16"/>
      <w:r w:rsidRPr="003D1386">
        <w:t xml:space="preserve"> </w:t>
      </w:r>
    </w:p>
    <w:p w14:paraId="78D11CC8"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where the volume of data transferred is not a whole number of kilobytes, it is rounded up to the next kilobyte at the earlier of the end of each session or 24 hours; and</w:t>
      </w:r>
    </w:p>
    <w:p w14:paraId="094A0ED5"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1024 bytes = 1 kilobyte (KB) and 1024 kilobytes = 1 megabyte (MB)</w:t>
      </w:r>
    </w:p>
    <w:p w14:paraId="7927C3B0" w14:textId="77777777" w:rsidR="00EB5FAF" w:rsidRPr="003D1386" w:rsidRDefault="00EB5FAF" w:rsidP="00EB5FAF">
      <w:pPr>
        <w:pStyle w:val="SubHead"/>
      </w:pPr>
      <w:bookmarkStart w:id="17" w:name="_Toc448916338"/>
      <w:r w:rsidRPr="003D1386">
        <w:t>Committed Data Plan</w:t>
      </w:r>
      <w:bookmarkEnd w:id="17"/>
    </w:p>
    <w:p w14:paraId="058B2DA1" w14:textId="77777777" w:rsidR="00EB5FAF" w:rsidRPr="003D1386" w:rsidRDefault="00EB5FAF" w:rsidP="00EB5FAF">
      <w:pPr>
        <w:pStyle w:val="Heading2"/>
        <w:widowControl w:val="0"/>
        <w:numPr>
          <w:ilvl w:val="1"/>
          <w:numId w:val="6"/>
        </w:numPr>
        <w:spacing w:before="0" w:after="240"/>
      </w:pPr>
      <w:bookmarkStart w:id="18" w:name="_Ref491272938"/>
      <w:r w:rsidRPr="003D1386">
        <w:t>A Committed Data Plan is:</w:t>
      </w:r>
      <w:bookmarkEnd w:id="18"/>
    </w:p>
    <w:p w14:paraId="4762222D"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a month-to-month add-on which provides a monthly data allowance (Monthly Data Allowance) that expires at the end of each month; and</w:t>
      </w:r>
    </w:p>
    <w:p w14:paraId="1AC5E407" w14:textId="77777777" w:rsidR="00EB5FAF" w:rsidRPr="003D1386" w:rsidRDefault="00EB5FAF" w:rsidP="00EB5FAF">
      <w:pPr>
        <w:pStyle w:val="Heading3"/>
        <w:widowControl w:val="0"/>
        <w:numPr>
          <w:ilvl w:val="2"/>
          <w:numId w:val="26"/>
        </w:numPr>
        <w:tabs>
          <w:tab w:val="clear" w:pos="1474"/>
          <w:tab w:val="num" w:pos="1447"/>
        </w:tabs>
        <w:spacing w:before="0" w:after="240"/>
        <w:ind w:left="1447"/>
      </w:pPr>
      <w:r w:rsidRPr="003D1386">
        <w:t xml:space="preserve">available with Entry $40, Standard $60, Professional $80, Executive $120, Data SIM $5 and Data SIM $40 Plans. </w:t>
      </w:r>
    </w:p>
    <w:p w14:paraId="34C9A58E" w14:textId="77777777" w:rsidR="00EB5FAF" w:rsidRPr="003D1386" w:rsidRDefault="00EB5FAF" w:rsidP="00EB5FAF">
      <w:pPr>
        <w:pStyle w:val="Heading2"/>
        <w:widowControl w:val="0"/>
        <w:numPr>
          <w:ilvl w:val="1"/>
          <w:numId w:val="6"/>
        </w:numPr>
        <w:spacing w:before="0" w:after="240"/>
      </w:pPr>
      <w:bookmarkStart w:id="19" w:name="_Ref448401006"/>
      <w:r w:rsidRPr="003D1386">
        <w:t>Your Monthly Data Allowance under your nominated Committed Data Plan will be automatically pooled and shared with the Monthly Data Allowance of services on eligible Corporate Mobile Plus Plans on the same account (Shared Monthly Data Allowance).</w:t>
      </w:r>
      <w:bookmarkEnd w:id="19"/>
      <w:r w:rsidRPr="003D1386">
        <w:t xml:space="preserve"> </w:t>
      </w:r>
    </w:p>
    <w:p w14:paraId="64AE957D" w14:textId="77777777" w:rsidR="00EB5FAF" w:rsidRPr="003D1386" w:rsidRDefault="00EB5FAF" w:rsidP="00EB5FAF">
      <w:pPr>
        <w:pStyle w:val="Heading2"/>
        <w:widowControl w:val="0"/>
        <w:numPr>
          <w:ilvl w:val="1"/>
          <w:numId w:val="6"/>
        </w:numPr>
        <w:spacing w:before="0" w:after="240"/>
      </w:pPr>
      <w:r w:rsidRPr="003D1386">
        <w:t>You can change or cancel your Committed Data Plan at any time, unless otherwise set out in your Corporate Mobile Plus customer agreement. Any change or cancellation will apply to all Corporate Mobile Plus Plans eligible for the Committed Data Plan on your account. The terms applying to these changes are as follows:</w:t>
      </w:r>
    </w:p>
    <w:tbl>
      <w:tblPr>
        <w:tblW w:w="822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3"/>
        <w:gridCol w:w="5459"/>
      </w:tblGrid>
      <w:tr w:rsidR="00EB5FAF" w:rsidRPr="003D1386" w14:paraId="736270BF" w14:textId="77777777" w:rsidTr="00382389">
        <w:trPr>
          <w:tblHeader/>
        </w:trPr>
        <w:tc>
          <w:tcPr>
            <w:tcW w:w="2763" w:type="dxa"/>
            <w:tcBorders>
              <w:top w:val="single" w:sz="4" w:space="0" w:color="auto"/>
              <w:left w:val="single" w:sz="4" w:space="0" w:color="auto"/>
              <w:bottom w:val="single" w:sz="4" w:space="0" w:color="auto"/>
              <w:right w:val="single" w:sz="4" w:space="0" w:color="auto"/>
            </w:tcBorders>
            <w:shd w:val="clear" w:color="auto" w:fill="FFC000"/>
            <w:hideMark/>
          </w:tcPr>
          <w:p w14:paraId="18A9B940" w14:textId="77777777" w:rsidR="00EB5FAF" w:rsidRPr="003D1386" w:rsidRDefault="00EB5FAF" w:rsidP="00382389">
            <w:pPr>
              <w:pStyle w:val="table1"/>
            </w:pPr>
            <w:r w:rsidRPr="003D1386">
              <w:t>Change</w:t>
            </w:r>
          </w:p>
        </w:tc>
        <w:tc>
          <w:tcPr>
            <w:tcW w:w="5459" w:type="dxa"/>
            <w:tcBorders>
              <w:top w:val="single" w:sz="4" w:space="0" w:color="auto"/>
              <w:left w:val="single" w:sz="4" w:space="0" w:color="auto"/>
              <w:bottom w:val="single" w:sz="4" w:space="0" w:color="auto"/>
              <w:right w:val="single" w:sz="4" w:space="0" w:color="auto"/>
            </w:tcBorders>
            <w:shd w:val="clear" w:color="auto" w:fill="FFC000"/>
            <w:hideMark/>
          </w:tcPr>
          <w:p w14:paraId="423481C0" w14:textId="77777777" w:rsidR="00EB5FAF" w:rsidRPr="003D1386" w:rsidRDefault="00EB5FAF" w:rsidP="00382389">
            <w:pPr>
              <w:pStyle w:val="table1"/>
            </w:pPr>
            <w:r w:rsidRPr="003D1386">
              <w:t>Terms</w:t>
            </w:r>
          </w:p>
        </w:tc>
      </w:tr>
      <w:tr w:rsidR="00EB5FAF" w:rsidRPr="003D1386" w14:paraId="43CB2283" w14:textId="77777777" w:rsidTr="00382389">
        <w:tc>
          <w:tcPr>
            <w:tcW w:w="2763" w:type="dxa"/>
            <w:tcBorders>
              <w:top w:val="single" w:sz="4" w:space="0" w:color="auto"/>
              <w:left w:val="single" w:sz="4" w:space="0" w:color="auto"/>
              <w:bottom w:val="single" w:sz="4" w:space="0" w:color="auto"/>
              <w:right w:val="single" w:sz="4" w:space="0" w:color="auto"/>
            </w:tcBorders>
            <w:hideMark/>
          </w:tcPr>
          <w:p w14:paraId="228C52F7" w14:textId="77777777" w:rsidR="00EB5FAF" w:rsidRPr="00EB5FAF" w:rsidRDefault="00EB5FAF" w:rsidP="00382389">
            <w:pPr>
              <w:pStyle w:val="table2"/>
              <w:rPr>
                <w:rFonts w:ascii="Verdana" w:hAnsi="Verdana"/>
              </w:rPr>
            </w:pPr>
            <w:r w:rsidRPr="00EB5FAF">
              <w:rPr>
                <w:rFonts w:ascii="Verdana" w:hAnsi="Verdana"/>
              </w:rPr>
              <w:t>If you move to a lower Committed Data Plan</w:t>
            </w:r>
          </w:p>
        </w:tc>
        <w:tc>
          <w:tcPr>
            <w:tcW w:w="5459" w:type="dxa"/>
            <w:tcBorders>
              <w:top w:val="single" w:sz="4" w:space="0" w:color="auto"/>
              <w:left w:val="single" w:sz="4" w:space="0" w:color="auto"/>
              <w:bottom w:val="single" w:sz="4" w:space="0" w:color="auto"/>
              <w:right w:val="single" w:sz="4" w:space="0" w:color="auto"/>
            </w:tcBorders>
            <w:hideMark/>
          </w:tcPr>
          <w:p w14:paraId="7C577FB4" w14:textId="77777777" w:rsidR="00EB5FAF" w:rsidRPr="00EB5FAF" w:rsidRDefault="00EB5FAF" w:rsidP="00382389">
            <w:pPr>
              <w:pStyle w:val="table2"/>
              <w:rPr>
                <w:rFonts w:ascii="Verdana" w:hAnsi="Verdana"/>
              </w:rPr>
            </w:pPr>
            <w:r w:rsidRPr="00EB5FAF">
              <w:rPr>
                <w:rFonts w:ascii="Verdana" w:hAnsi="Verdana"/>
              </w:rPr>
              <w:t>We will apply your new allowance (unless you move to PAYG Data charges) and excess data rates from the next billing cycle.</w:t>
            </w:r>
          </w:p>
        </w:tc>
      </w:tr>
      <w:tr w:rsidR="00EB5FAF" w:rsidRPr="003D1386" w14:paraId="69DD1E5E" w14:textId="77777777" w:rsidTr="00382389">
        <w:tc>
          <w:tcPr>
            <w:tcW w:w="2763" w:type="dxa"/>
            <w:tcBorders>
              <w:top w:val="single" w:sz="4" w:space="0" w:color="auto"/>
              <w:left w:val="single" w:sz="4" w:space="0" w:color="auto"/>
              <w:bottom w:val="single" w:sz="4" w:space="0" w:color="auto"/>
              <w:right w:val="single" w:sz="4" w:space="0" w:color="auto"/>
            </w:tcBorders>
            <w:hideMark/>
          </w:tcPr>
          <w:p w14:paraId="62F7DAD2" w14:textId="77777777" w:rsidR="00EB5FAF" w:rsidRPr="00EB5FAF" w:rsidRDefault="00EB5FAF" w:rsidP="00382389">
            <w:pPr>
              <w:pStyle w:val="table2"/>
              <w:rPr>
                <w:rFonts w:ascii="Verdana" w:hAnsi="Verdana"/>
              </w:rPr>
            </w:pPr>
            <w:r w:rsidRPr="00EB5FAF">
              <w:rPr>
                <w:rFonts w:ascii="Verdana" w:hAnsi="Verdana"/>
              </w:rPr>
              <w:t>If you move to a higher Committed Data Plan</w:t>
            </w:r>
          </w:p>
        </w:tc>
        <w:tc>
          <w:tcPr>
            <w:tcW w:w="5459" w:type="dxa"/>
            <w:tcBorders>
              <w:top w:val="single" w:sz="4" w:space="0" w:color="auto"/>
              <w:left w:val="single" w:sz="4" w:space="0" w:color="auto"/>
              <w:bottom w:val="single" w:sz="4" w:space="0" w:color="auto"/>
              <w:right w:val="single" w:sz="4" w:space="0" w:color="auto"/>
            </w:tcBorders>
            <w:hideMark/>
          </w:tcPr>
          <w:p w14:paraId="5992A552" w14:textId="77777777" w:rsidR="00EB5FAF" w:rsidRPr="00EB5FAF" w:rsidRDefault="00EB5FAF" w:rsidP="00382389">
            <w:pPr>
              <w:pStyle w:val="table2"/>
              <w:rPr>
                <w:rFonts w:ascii="Verdana" w:hAnsi="Verdana"/>
              </w:rPr>
            </w:pPr>
            <w:r w:rsidRPr="00EB5FAF">
              <w:rPr>
                <w:rFonts w:ascii="Verdana" w:hAnsi="Verdana"/>
              </w:rPr>
              <w:t>We will apply your new allowance and data charges from the next billing cycle.</w:t>
            </w:r>
          </w:p>
        </w:tc>
      </w:tr>
      <w:tr w:rsidR="00EB5FAF" w:rsidRPr="003D1386" w14:paraId="5910251A" w14:textId="77777777" w:rsidTr="00382389">
        <w:tc>
          <w:tcPr>
            <w:tcW w:w="2763" w:type="dxa"/>
            <w:tcBorders>
              <w:top w:val="single" w:sz="4" w:space="0" w:color="auto"/>
              <w:left w:val="single" w:sz="4" w:space="0" w:color="auto"/>
              <w:bottom w:val="single" w:sz="4" w:space="0" w:color="auto"/>
              <w:right w:val="single" w:sz="4" w:space="0" w:color="auto"/>
            </w:tcBorders>
            <w:hideMark/>
          </w:tcPr>
          <w:p w14:paraId="62E2E559" w14:textId="77777777" w:rsidR="00EB5FAF" w:rsidRPr="00EB5FAF" w:rsidRDefault="00EB5FAF" w:rsidP="00382389">
            <w:pPr>
              <w:pStyle w:val="table2"/>
              <w:rPr>
                <w:rFonts w:ascii="Verdana" w:hAnsi="Verdana"/>
              </w:rPr>
            </w:pPr>
            <w:r w:rsidRPr="00EB5FAF">
              <w:rPr>
                <w:rFonts w:ascii="Verdana" w:hAnsi="Verdana"/>
              </w:rPr>
              <w:t>If you move to PAYG Data charges</w:t>
            </w:r>
          </w:p>
        </w:tc>
        <w:tc>
          <w:tcPr>
            <w:tcW w:w="5459" w:type="dxa"/>
            <w:tcBorders>
              <w:top w:val="single" w:sz="4" w:space="0" w:color="auto"/>
              <w:left w:val="single" w:sz="4" w:space="0" w:color="auto"/>
              <w:bottom w:val="single" w:sz="4" w:space="0" w:color="auto"/>
              <w:right w:val="single" w:sz="4" w:space="0" w:color="auto"/>
            </w:tcBorders>
            <w:hideMark/>
          </w:tcPr>
          <w:p w14:paraId="35856212" w14:textId="77777777" w:rsidR="00EB5FAF" w:rsidRPr="00EB5FAF" w:rsidRDefault="00EB5FAF" w:rsidP="00382389">
            <w:pPr>
              <w:pStyle w:val="table2"/>
              <w:rPr>
                <w:rFonts w:ascii="Verdana" w:hAnsi="Verdana"/>
              </w:rPr>
            </w:pPr>
            <w:r w:rsidRPr="00EB5FAF">
              <w:rPr>
                <w:rFonts w:ascii="Verdana" w:hAnsi="Verdana"/>
              </w:rPr>
              <w:t>Your current data allowance will expire at the next billing cycle. We will apply your excess data rates from the next billing cycle.</w:t>
            </w:r>
          </w:p>
        </w:tc>
      </w:tr>
    </w:tbl>
    <w:p w14:paraId="5B6C4B1B" w14:textId="77777777" w:rsidR="00EB5FAF" w:rsidRPr="003D1386" w:rsidRDefault="00EB5FAF" w:rsidP="00EB5FAF"/>
    <w:p w14:paraId="648A43E4" w14:textId="77777777" w:rsidR="00EB5FAF" w:rsidRPr="003D1386" w:rsidRDefault="00EB5FAF" w:rsidP="00EB5FAF">
      <w:pPr>
        <w:pStyle w:val="Heading2"/>
        <w:widowControl w:val="0"/>
        <w:numPr>
          <w:ilvl w:val="1"/>
          <w:numId w:val="6"/>
        </w:numPr>
        <w:spacing w:before="0" w:after="240"/>
      </w:pPr>
      <w:r w:rsidRPr="003D1386">
        <w:t>This table sets out what will happen to your Shared Monthly Data Allowance if you make a change to Corporate Mobile Plus Plan associated with Committed Data Plan in between billing months:</w:t>
      </w:r>
    </w:p>
    <w:tbl>
      <w:tblPr>
        <w:tblW w:w="846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17"/>
      </w:tblGrid>
      <w:tr w:rsidR="00EB5FAF" w:rsidRPr="003D1386" w14:paraId="15A24766" w14:textId="77777777" w:rsidTr="00382389">
        <w:tc>
          <w:tcPr>
            <w:tcW w:w="2552" w:type="dxa"/>
            <w:tcBorders>
              <w:top w:val="single" w:sz="4" w:space="0" w:color="auto"/>
              <w:left w:val="single" w:sz="4" w:space="0" w:color="auto"/>
              <w:bottom w:val="single" w:sz="4" w:space="0" w:color="auto"/>
              <w:right w:val="single" w:sz="4" w:space="0" w:color="auto"/>
            </w:tcBorders>
            <w:shd w:val="clear" w:color="auto" w:fill="FFC000"/>
            <w:hideMark/>
          </w:tcPr>
          <w:p w14:paraId="275B700D" w14:textId="77777777" w:rsidR="00EB5FAF" w:rsidRPr="003D1386" w:rsidRDefault="00EB5FAF" w:rsidP="00382389">
            <w:pPr>
              <w:pStyle w:val="table1"/>
            </w:pPr>
            <w:r w:rsidRPr="003D1386">
              <w:t>Change</w:t>
            </w:r>
          </w:p>
        </w:tc>
        <w:tc>
          <w:tcPr>
            <w:tcW w:w="5917" w:type="dxa"/>
            <w:tcBorders>
              <w:top w:val="single" w:sz="4" w:space="0" w:color="auto"/>
              <w:left w:val="single" w:sz="4" w:space="0" w:color="auto"/>
              <w:bottom w:val="single" w:sz="4" w:space="0" w:color="auto"/>
              <w:right w:val="single" w:sz="4" w:space="0" w:color="auto"/>
            </w:tcBorders>
            <w:shd w:val="clear" w:color="auto" w:fill="FFC000"/>
            <w:hideMark/>
          </w:tcPr>
          <w:p w14:paraId="79E65D9D" w14:textId="77777777" w:rsidR="00EB5FAF" w:rsidRPr="003D1386" w:rsidRDefault="00EB5FAF" w:rsidP="00382389">
            <w:pPr>
              <w:pStyle w:val="table1"/>
            </w:pPr>
            <w:r w:rsidRPr="003D1386">
              <w:t>Terms</w:t>
            </w:r>
          </w:p>
        </w:tc>
      </w:tr>
      <w:tr w:rsidR="00EB5FAF" w:rsidRPr="003D1386" w14:paraId="7868E6C1" w14:textId="77777777" w:rsidTr="00382389">
        <w:tc>
          <w:tcPr>
            <w:tcW w:w="2552" w:type="dxa"/>
            <w:tcBorders>
              <w:top w:val="single" w:sz="4" w:space="0" w:color="auto"/>
              <w:left w:val="single" w:sz="4" w:space="0" w:color="auto"/>
              <w:bottom w:val="single" w:sz="4" w:space="0" w:color="auto"/>
              <w:right w:val="single" w:sz="4" w:space="0" w:color="auto"/>
            </w:tcBorders>
            <w:hideMark/>
          </w:tcPr>
          <w:p w14:paraId="0D99D52C" w14:textId="77777777" w:rsidR="00EB5FAF" w:rsidRPr="00EB5FAF" w:rsidRDefault="00EB5FAF" w:rsidP="00382389">
            <w:pPr>
              <w:pStyle w:val="table2"/>
              <w:rPr>
                <w:rFonts w:ascii="Verdana" w:hAnsi="Verdana"/>
                <w:sz w:val="20"/>
              </w:rPr>
            </w:pPr>
            <w:r w:rsidRPr="00EB5FAF">
              <w:rPr>
                <w:rFonts w:ascii="Verdana" w:hAnsi="Verdana"/>
                <w:sz w:val="20"/>
              </w:rPr>
              <w:t>Cancelled</w:t>
            </w:r>
          </w:p>
        </w:tc>
        <w:tc>
          <w:tcPr>
            <w:tcW w:w="5917" w:type="dxa"/>
            <w:tcBorders>
              <w:top w:val="single" w:sz="4" w:space="0" w:color="auto"/>
              <w:left w:val="single" w:sz="4" w:space="0" w:color="auto"/>
              <w:bottom w:val="single" w:sz="4" w:space="0" w:color="auto"/>
              <w:right w:val="single" w:sz="4" w:space="0" w:color="auto"/>
            </w:tcBorders>
            <w:hideMark/>
          </w:tcPr>
          <w:p w14:paraId="6193A68A" w14:textId="77777777" w:rsidR="00EB5FAF" w:rsidRPr="00EB5FAF" w:rsidRDefault="00EB5FAF" w:rsidP="00382389">
            <w:pPr>
              <w:pStyle w:val="table2"/>
              <w:rPr>
                <w:rFonts w:ascii="Verdana" w:hAnsi="Verdana"/>
                <w:sz w:val="20"/>
              </w:rPr>
            </w:pPr>
            <w:r w:rsidRPr="00EB5FAF">
              <w:rPr>
                <w:rFonts w:ascii="Verdana" w:hAnsi="Verdana"/>
                <w:sz w:val="20"/>
              </w:rPr>
              <w:t>Any unused data as at the date of cancellation will remain on your account for the remainder of that billing month.</w:t>
            </w:r>
          </w:p>
        </w:tc>
      </w:tr>
      <w:tr w:rsidR="00EB5FAF" w:rsidRPr="003D1386" w14:paraId="026ADEB4" w14:textId="77777777" w:rsidTr="00382389">
        <w:tc>
          <w:tcPr>
            <w:tcW w:w="2552" w:type="dxa"/>
            <w:tcBorders>
              <w:top w:val="single" w:sz="4" w:space="0" w:color="auto"/>
              <w:left w:val="single" w:sz="4" w:space="0" w:color="auto"/>
              <w:bottom w:val="single" w:sz="4" w:space="0" w:color="auto"/>
              <w:right w:val="single" w:sz="4" w:space="0" w:color="auto"/>
            </w:tcBorders>
            <w:hideMark/>
          </w:tcPr>
          <w:p w14:paraId="6B696628" w14:textId="77777777" w:rsidR="00EB5FAF" w:rsidRPr="00EB5FAF" w:rsidRDefault="00EB5FAF" w:rsidP="00382389">
            <w:pPr>
              <w:pStyle w:val="table2"/>
              <w:rPr>
                <w:rFonts w:ascii="Verdana" w:hAnsi="Verdana"/>
                <w:sz w:val="20"/>
              </w:rPr>
            </w:pPr>
            <w:r w:rsidRPr="00EB5FAF">
              <w:rPr>
                <w:rFonts w:ascii="Verdana" w:hAnsi="Verdana"/>
                <w:sz w:val="20"/>
              </w:rPr>
              <w:t>Added</w:t>
            </w:r>
          </w:p>
        </w:tc>
        <w:tc>
          <w:tcPr>
            <w:tcW w:w="5917" w:type="dxa"/>
            <w:tcBorders>
              <w:top w:val="single" w:sz="4" w:space="0" w:color="auto"/>
              <w:left w:val="single" w:sz="4" w:space="0" w:color="auto"/>
              <w:bottom w:val="single" w:sz="4" w:space="0" w:color="auto"/>
              <w:right w:val="single" w:sz="4" w:space="0" w:color="auto"/>
            </w:tcBorders>
            <w:hideMark/>
          </w:tcPr>
          <w:p w14:paraId="45810A09" w14:textId="77777777" w:rsidR="00EB5FAF" w:rsidRPr="00EB5FAF" w:rsidRDefault="00EB5FAF" w:rsidP="00382389">
            <w:pPr>
              <w:pStyle w:val="table2"/>
              <w:rPr>
                <w:rFonts w:ascii="Verdana" w:hAnsi="Verdana"/>
                <w:sz w:val="20"/>
              </w:rPr>
            </w:pPr>
            <w:r w:rsidRPr="00EB5FAF">
              <w:rPr>
                <w:rFonts w:ascii="Verdana" w:hAnsi="Verdana"/>
                <w:sz w:val="20"/>
              </w:rPr>
              <w:t>A full month’s data allowance will be added to your Shared Monthly Data Allowance for the month (it will not be pro-rated).</w:t>
            </w:r>
          </w:p>
        </w:tc>
      </w:tr>
      <w:tr w:rsidR="00EB5FAF" w:rsidRPr="003D1386" w14:paraId="755E4088" w14:textId="77777777" w:rsidTr="00382389">
        <w:tc>
          <w:tcPr>
            <w:tcW w:w="2552" w:type="dxa"/>
            <w:tcBorders>
              <w:top w:val="single" w:sz="4" w:space="0" w:color="auto"/>
              <w:left w:val="single" w:sz="4" w:space="0" w:color="auto"/>
              <w:bottom w:val="single" w:sz="4" w:space="0" w:color="auto"/>
              <w:right w:val="single" w:sz="4" w:space="0" w:color="auto"/>
            </w:tcBorders>
            <w:hideMark/>
          </w:tcPr>
          <w:p w14:paraId="58EE544A" w14:textId="77777777" w:rsidR="00EB5FAF" w:rsidRPr="00EB5FAF" w:rsidRDefault="00EB5FAF" w:rsidP="00382389">
            <w:pPr>
              <w:pStyle w:val="table2"/>
              <w:rPr>
                <w:rFonts w:ascii="Verdana" w:hAnsi="Verdana"/>
                <w:sz w:val="20"/>
              </w:rPr>
            </w:pPr>
            <w:r w:rsidRPr="00EB5FAF">
              <w:rPr>
                <w:rFonts w:ascii="Verdana" w:hAnsi="Verdana"/>
                <w:sz w:val="20"/>
              </w:rPr>
              <w:lastRenderedPageBreak/>
              <w:t>Moved to another account</w:t>
            </w:r>
          </w:p>
        </w:tc>
        <w:tc>
          <w:tcPr>
            <w:tcW w:w="5917" w:type="dxa"/>
            <w:tcBorders>
              <w:top w:val="single" w:sz="4" w:space="0" w:color="auto"/>
              <w:left w:val="single" w:sz="4" w:space="0" w:color="auto"/>
              <w:bottom w:val="single" w:sz="4" w:space="0" w:color="auto"/>
              <w:right w:val="single" w:sz="4" w:space="0" w:color="auto"/>
            </w:tcBorders>
            <w:hideMark/>
          </w:tcPr>
          <w:p w14:paraId="4A247DDD" w14:textId="77777777" w:rsidR="00EB5FAF" w:rsidRPr="00EB5FAF" w:rsidRDefault="00EB5FAF" w:rsidP="00382389">
            <w:pPr>
              <w:pStyle w:val="table2"/>
              <w:rPr>
                <w:rFonts w:ascii="Verdana" w:hAnsi="Verdana"/>
                <w:sz w:val="20"/>
              </w:rPr>
            </w:pPr>
            <w:r w:rsidRPr="00EB5FAF">
              <w:rPr>
                <w:rFonts w:ascii="Verdana" w:hAnsi="Verdana"/>
                <w:sz w:val="20"/>
              </w:rPr>
              <w:t>The total data contributed to the Shared Monthly Data Allowance by the relevant service will be removed from the original account.</w:t>
            </w:r>
          </w:p>
          <w:p w14:paraId="74FD761A" w14:textId="77777777" w:rsidR="00EB5FAF" w:rsidRPr="00EB5FAF" w:rsidRDefault="00EB5FAF" w:rsidP="00382389">
            <w:pPr>
              <w:pStyle w:val="table2"/>
              <w:rPr>
                <w:rFonts w:ascii="Verdana" w:hAnsi="Verdana"/>
                <w:sz w:val="20"/>
              </w:rPr>
            </w:pPr>
            <w:r w:rsidRPr="00EB5FAF">
              <w:rPr>
                <w:rFonts w:ascii="Verdana" w:hAnsi="Verdana"/>
                <w:sz w:val="20"/>
              </w:rPr>
              <w:t>If the data used by the relevant service is greater than the data contributed, the maximum data removed from the Shared Monthly Data Allowance of the original account will be data used by relevant service.</w:t>
            </w:r>
          </w:p>
          <w:p w14:paraId="3AA8B616" w14:textId="77777777" w:rsidR="00EB5FAF" w:rsidRPr="00EB5FAF" w:rsidRDefault="00EB5FAF" w:rsidP="00382389">
            <w:pPr>
              <w:pStyle w:val="table2"/>
              <w:rPr>
                <w:rFonts w:ascii="Verdana" w:hAnsi="Verdana"/>
                <w:sz w:val="20"/>
              </w:rPr>
            </w:pPr>
            <w:r w:rsidRPr="00EB5FAF">
              <w:rPr>
                <w:rFonts w:ascii="Verdana" w:hAnsi="Verdana"/>
                <w:sz w:val="20"/>
              </w:rPr>
              <w:t>If the data used by the relevant is less than the data contributed, then only the data used will be deducted from the Shared Monthly Data Allowance of the original account for the applicable month.</w:t>
            </w:r>
          </w:p>
        </w:tc>
      </w:tr>
    </w:tbl>
    <w:p w14:paraId="3BDE99BE" w14:textId="77777777" w:rsidR="00EB5FAF" w:rsidRPr="003D1386" w:rsidRDefault="00EB5FAF" w:rsidP="00EB5FAF"/>
    <w:p w14:paraId="65BCDD12" w14:textId="07D4DE4C" w:rsidR="00EB5FAF" w:rsidRDefault="00EB5FAF" w:rsidP="00EB5FAF">
      <w:pPr>
        <w:pStyle w:val="Heading2"/>
        <w:widowControl w:val="0"/>
        <w:numPr>
          <w:ilvl w:val="1"/>
          <w:numId w:val="6"/>
        </w:numPr>
        <w:spacing w:before="0" w:after="240"/>
      </w:pPr>
      <w:bookmarkStart w:id="20" w:name="_Ref490461630"/>
      <w:r w:rsidRPr="003D1386">
        <w:t>If your Corporate Mobile Plus Plan is no longer available, we may migrate your mobile service onto another current plan which is reasonably comparable. We will tell you before this happens.</w:t>
      </w:r>
      <w:bookmarkEnd w:id="20"/>
    </w:p>
    <w:p w14:paraId="7490BA30" w14:textId="77777777" w:rsidR="00EB5FAF" w:rsidRPr="003D1386" w:rsidRDefault="00EB5FAF" w:rsidP="00EB5FAF">
      <w:pPr>
        <w:pStyle w:val="SubHead"/>
      </w:pPr>
      <w:r w:rsidRPr="003D1386">
        <w:t>Data charges</w:t>
      </w:r>
    </w:p>
    <w:p w14:paraId="6F43CBA8" w14:textId="77777777" w:rsidR="00EB5FAF" w:rsidRPr="003D1386" w:rsidRDefault="00EB5FAF" w:rsidP="00EB5FAF">
      <w:pPr>
        <w:pStyle w:val="Heading2"/>
        <w:widowControl w:val="0"/>
        <w:numPr>
          <w:ilvl w:val="1"/>
          <w:numId w:val="6"/>
        </w:numPr>
        <w:spacing w:before="0" w:after="240"/>
      </w:pPr>
      <w:bookmarkStart w:id="21" w:name="_Ref491362626"/>
      <w:r w:rsidRPr="003D1386">
        <w:t>You will be charged for data usage as follows:</w:t>
      </w:r>
      <w:bookmarkEnd w:id="21"/>
    </w:p>
    <w:tbl>
      <w:tblPr>
        <w:tblW w:w="9061" w:type="dxa"/>
        <w:tblInd w:w="226" w:type="dxa"/>
        <w:tblCellMar>
          <w:left w:w="0" w:type="dxa"/>
          <w:right w:w="0" w:type="dxa"/>
        </w:tblCellMar>
        <w:tblLook w:val="04A0" w:firstRow="1" w:lastRow="0" w:firstColumn="1" w:lastColumn="0" w:noHBand="0" w:noVBand="1"/>
      </w:tblPr>
      <w:tblGrid>
        <w:gridCol w:w="1666"/>
        <w:gridCol w:w="1306"/>
        <w:gridCol w:w="1185"/>
        <w:gridCol w:w="877"/>
        <w:gridCol w:w="877"/>
        <w:gridCol w:w="877"/>
        <w:gridCol w:w="877"/>
        <w:gridCol w:w="877"/>
        <w:gridCol w:w="877"/>
      </w:tblGrid>
      <w:tr w:rsidR="00EB5FAF" w:rsidRPr="007354A9" w14:paraId="138E3982" w14:textId="77777777" w:rsidTr="00EB5FAF">
        <w:trPr>
          <w:trHeight w:val="288"/>
          <w:tblHeader/>
        </w:trPr>
        <w:tc>
          <w:tcPr>
            <w:tcW w:w="1666"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noWrap/>
            <w:tcMar>
              <w:top w:w="0" w:type="dxa"/>
              <w:left w:w="108" w:type="dxa"/>
              <w:bottom w:w="0" w:type="dxa"/>
              <w:right w:w="108" w:type="dxa"/>
            </w:tcMar>
            <w:vAlign w:val="center"/>
            <w:hideMark/>
          </w:tcPr>
          <w:p w14:paraId="16E8CE91" w14:textId="77777777" w:rsidR="00EB5FAF" w:rsidRPr="007354A9" w:rsidRDefault="00EB5FAF" w:rsidP="00382389">
            <w:pPr>
              <w:pStyle w:val="table1"/>
              <w:rPr>
                <w:sz w:val="18"/>
                <w:szCs w:val="18"/>
              </w:rPr>
            </w:pPr>
            <w:r w:rsidRPr="007354A9">
              <w:rPr>
                <w:sz w:val="18"/>
                <w:szCs w:val="18"/>
              </w:rPr>
              <w:t>Data Construct</w:t>
            </w:r>
          </w:p>
        </w:tc>
        <w:tc>
          <w:tcPr>
            <w:tcW w:w="1193" w:type="dxa"/>
            <w:vMerge w:val="restart"/>
            <w:tcBorders>
              <w:top w:val="single" w:sz="8" w:space="0" w:color="auto"/>
              <w:left w:val="nil"/>
              <w:bottom w:val="single" w:sz="8" w:space="0" w:color="000000"/>
              <w:right w:val="single" w:sz="8" w:space="0" w:color="auto"/>
            </w:tcBorders>
            <w:shd w:val="clear" w:color="auto" w:fill="8DB3E2" w:themeFill="text2" w:themeFillTint="66"/>
            <w:noWrap/>
            <w:tcMar>
              <w:top w:w="0" w:type="dxa"/>
              <w:left w:w="108" w:type="dxa"/>
              <w:bottom w:w="0" w:type="dxa"/>
              <w:right w:w="108" w:type="dxa"/>
            </w:tcMar>
            <w:vAlign w:val="center"/>
            <w:hideMark/>
          </w:tcPr>
          <w:p w14:paraId="7C493EC1" w14:textId="77777777" w:rsidR="00EB5FAF" w:rsidRPr="007354A9" w:rsidRDefault="00EB5FAF" w:rsidP="00382389">
            <w:pPr>
              <w:pStyle w:val="table1"/>
              <w:rPr>
                <w:sz w:val="18"/>
                <w:szCs w:val="18"/>
              </w:rPr>
            </w:pPr>
            <w:r w:rsidRPr="007354A9">
              <w:rPr>
                <w:sz w:val="18"/>
                <w:szCs w:val="18"/>
              </w:rPr>
              <w:t>Committed Data Plan minimum monthly charge</w:t>
            </w:r>
          </w:p>
        </w:tc>
        <w:tc>
          <w:tcPr>
            <w:tcW w:w="940" w:type="dxa"/>
            <w:vMerge w:val="restart"/>
            <w:tcBorders>
              <w:top w:val="single" w:sz="8" w:space="0" w:color="auto"/>
              <w:left w:val="nil"/>
              <w:bottom w:val="single" w:sz="8" w:space="0" w:color="auto"/>
              <w:right w:val="single" w:sz="4" w:space="0" w:color="auto"/>
            </w:tcBorders>
            <w:shd w:val="clear" w:color="auto" w:fill="8DB3E2" w:themeFill="text2" w:themeFillTint="66"/>
            <w:vAlign w:val="center"/>
            <w:hideMark/>
          </w:tcPr>
          <w:p w14:paraId="20F96727" w14:textId="77777777" w:rsidR="00EB5FAF" w:rsidRPr="007354A9" w:rsidRDefault="00EB5FAF" w:rsidP="00382389">
            <w:pPr>
              <w:pStyle w:val="table1"/>
              <w:rPr>
                <w:sz w:val="18"/>
                <w:szCs w:val="18"/>
              </w:rPr>
            </w:pPr>
            <w:r w:rsidRPr="007354A9">
              <w:rPr>
                <w:sz w:val="18"/>
                <w:szCs w:val="18"/>
              </w:rPr>
              <w:t>Shared Monthly Data Allowance (GB)</w:t>
            </w:r>
          </w:p>
        </w:tc>
        <w:tc>
          <w:tcPr>
            <w:tcW w:w="5262" w:type="dxa"/>
            <w:gridSpan w:val="6"/>
            <w:tcBorders>
              <w:top w:val="single" w:sz="8" w:space="0" w:color="auto"/>
              <w:left w:val="single" w:sz="4" w:space="0" w:color="auto"/>
              <w:bottom w:val="single" w:sz="8" w:space="0" w:color="auto"/>
              <w:right w:val="single" w:sz="8" w:space="0" w:color="000000"/>
            </w:tcBorders>
            <w:shd w:val="clear" w:color="auto" w:fill="8DB3E2" w:themeFill="text2" w:themeFillTint="66"/>
            <w:noWrap/>
            <w:tcMar>
              <w:top w:w="0" w:type="dxa"/>
              <w:left w:w="108" w:type="dxa"/>
              <w:bottom w:w="0" w:type="dxa"/>
              <w:right w:w="108" w:type="dxa"/>
            </w:tcMar>
            <w:vAlign w:val="bottom"/>
            <w:hideMark/>
          </w:tcPr>
          <w:p w14:paraId="1AF71285" w14:textId="77777777" w:rsidR="00EB5FAF" w:rsidRPr="007354A9" w:rsidRDefault="00EB5FAF" w:rsidP="00382389">
            <w:pPr>
              <w:pStyle w:val="table1"/>
              <w:rPr>
                <w:rFonts w:eastAsia="Calibri"/>
                <w:sz w:val="18"/>
                <w:szCs w:val="18"/>
              </w:rPr>
            </w:pPr>
            <w:r w:rsidRPr="007354A9">
              <w:rPr>
                <w:sz w:val="18"/>
                <w:szCs w:val="18"/>
              </w:rPr>
              <w:t xml:space="preserve">Tiered Data Rate (Per MB or part thereof) applicable to the Data Usage in excess of the Shared Monthly Data Allowance </w:t>
            </w:r>
          </w:p>
        </w:tc>
      </w:tr>
      <w:tr w:rsidR="00EB5FAF" w:rsidRPr="007354A9" w14:paraId="02AEB9CC" w14:textId="77777777" w:rsidTr="00EB5FAF">
        <w:trPr>
          <w:trHeight w:val="936"/>
          <w:tblHeader/>
        </w:trPr>
        <w:tc>
          <w:tcPr>
            <w:tcW w:w="1666" w:type="dxa"/>
            <w:vMerge/>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14:paraId="5240E4C0" w14:textId="77777777" w:rsidR="00EB5FAF" w:rsidRPr="007354A9" w:rsidRDefault="00EB5FAF" w:rsidP="00382389">
            <w:pPr>
              <w:pStyle w:val="table1"/>
              <w:rPr>
                <w:sz w:val="18"/>
                <w:szCs w:val="18"/>
              </w:rPr>
            </w:pPr>
          </w:p>
        </w:tc>
        <w:tc>
          <w:tcPr>
            <w:tcW w:w="1193" w:type="dxa"/>
            <w:vMerge/>
            <w:tcBorders>
              <w:top w:val="single" w:sz="8" w:space="0" w:color="auto"/>
              <w:left w:val="nil"/>
              <w:bottom w:val="single" w:sz="8" w:space="0" w:color="000000"/>
              <w:right w:val="single" w:sz="8" w:space="0" w:color="auto"/>
            </w:tcBorders>
            <w:shd w:val="clear" w:color="auto" w:fill="8DB3E2" w:themeFill="text2" w:themeFillTint="66"/>
            <w:vAlign w:val="center"/>
            <w:hideMark/>
          </w:tcPr>
          <w:p w14:paraId="1E948041" w14:textId="77777777" w:rsidR="00EB5FAF" w:rsidRPr="007354A9" w:rsidRDefault="00EB5FAF" w:rsidP="00382389">
            <w:pPr>
              <w:pStyle w:val="table1"/>
              <w:rPr>
                <w:sz w:val="18"/>
                <w:szCs w:val="18"/>
              </w:rPr>
            </w:pPr>
          </w:p>
        </w:tc>
        <w:tc>
          <w:tcPr>
            <w:tcW w:w="940" w:type="dxa"/>
            <w:vMerge/>
            <w:tcBorders>
              <w:top w:val="single" w:sz="8" w:space="0" w:color="auto"/>
              <w:left w:val="nil"/>
              <w:bottom w:val="single" w:sz="8" w:space="0" w:color="auto"/>
              <w:right w:val="single" w:sz="4" w:space="0" w:color="auto"/>
            </w:tcBorders>
            <w:shd w:val="clear" w:color="auto" w:fill="8DB3E2" w:themeFill="text2" w:themeFillTint="66"/>
            <w:vAlign w:val="center"/>
            <w:hideMark/>
          </w:tcPr>
          <w:p w14:paraId="420903AC" w14:textId="77777777" w:rsidR="00EB5FAF" w:rsidRPr="007354A9" w:rsidRDefault="00EB5FAF" w:rsidP="00382389">
            <w:pPr>
              <w:pStyle w:val="table1"/>
              <w:rPr>
                <w:sz w:val="18"/>
                <w:szCs w:val="18"/>
              </w:rPr>
            </w:pPr>
          </w:p>
        </w:tc>
        <w:tc>
          <w:tcPr>
            <w:tcW w:w="877" w:type="dxa"/>
            <w:tcBorders>
              <w:top w:val="nil"/>
              <w:left w:val="single" w:sz="4" w:space="0" w:color="auto"/>
              <w:bottom w:val="single" w:sz="8" w:space="0" w:color="auto"/>
              <w:right w:val="single" w:sz="8" w:space="0" w:color="auto"/>
            </w:tcBorders>
            <w:shd w:val="clear" w:color="auto" w:fill="8DB3E2" w:themeFill="text2" w:themeFillTint="66"/>
            <w:noWrap/>
            <w:tcMar>
              <w:top w:w="0" w:type="dxa"/>
              <w:left w:w="108" w:type="dxa"/>
              <w:bottom w:w="0" w:type="dxa"/>
              <w:right w:w="108" w:type="dxa"/>
            </w:tcMar>
            <w:vAlign w:val="bottom"/>
            <w:hideMark/>
          </w:tcPr>
          <w:p w14:paraId="6EDEB0F4" w14:textId="77777777" w:rsidR="00EB5FAF" w:rsidRPr="007354A9" w:rsidRDefault="00EB5FAF" w:rsidP="00382389">
            <w:pPr>
              <w:pStyle w:val="table1"/>
              <w:rPr>
                <w:rFonts w:eastAsia="Calibri"/>
                <w:sz w:val="18"/>
                <w:szCs w:val="18"/>
              </w:rPr>
            </w:pPr>
            <w:r w:rsidRPr="007354A9">
              <w:rPr>
                <w:sz w:val="18"/>
                <w:szCs w:val="18"/>
              </w:rPr>
              <w:t>0-1GB</w:t>
            </w:r>
          </w:p>
        </w:tc>
        <w:tc>
          <w:tcPr>
            <w:tcW w:w="877" w:type="dxa"/>
            <w:tcBorders>
              <w:top w:val="nil"/>
              <w:left w:val="nil"/>
              <w:bottom w:val="single" w:sz="8" w:space="0" w:color="auto"/>
              <w:right w:val="single" w:sz="8" w:space="0" w:color="auto"/>
            </w:tcBorders>
            <w:shd w:val="clear" w:color="auto" w:fill="8DB3E2" w:themeFill="text2" w:themeFillTint="66"/>
            <w:noWrap/>
            <w:tcMar>
              <w:top w:w="0" w:type="dxa"/>
              <w:left w:w="108" w:type="dxa"/>
              <w:bottom w:w="0" w:type="dxa"/>
              <w:right w:w="108" w:type="dxa"/>
            </w:tcMar>
            <w:vAlign w:val="bottom"/>
            <w:hideMark/>
          </w:tcPr>
          <w:p w14:paraId="703767D0" w14:textId="77777777" w:rsidR="00EB5FAF" w:rsidRPr="007354A9" w:rsidRDefault="00EB5FAF" w:rsidP="00382389">
            <w:pPr>
              <w:pStyle w:val="table1"/>
              <w:rPr>
                <w:rFonts w:eastAsia="Calibri"/>
                <w:sz w:val="18"/>
                <w:szCs w:val="18"/>
              </w:rPr>
            </w:pPr>
            <w:r w:rsidRPr="007354A9">
              <w:rPr>
                <w:sz w:val="18"/>
                <w:szCs w:val="18"/>
              </w:rPr>
              <w:t>&gt;1GB to 2GB</w:t>
            </w:r>
          </w:p>
        </w:tc>
        <w:tc>
          <w:tcPr>
            <w:tcW w:w="877" w:type="dxa"/>
            <w:tcBorders>
              <w:top w:val="nil"/>
              <w:left w:val="nil"/>
              <w:bottom w:val="single" w:sz="8" w:space="0" w:color="auto"/>
              <w:right w:val="single" w:sz="8" w:space="0" w:color="auto"/>
            </w:tcBorders>
            <w:shd w:val="clear" w:color="auto" w:fill="8DB3E2" w:themeFill="text2" w:themeFillTint="66"/>
            <w:noWrap/>
            <w:tcMar>
              <w:top w:w="0" w:type="dxa"/>
              <w:left w:w="108" w:type="dxa"/>
              <w:bottom w:w="0" w:type="dxa"/>
              <w:right w:w="108" w:type="dxa"/>
            </w:tcMar>
            <w:vAlign w:val="bottom"/>
            <w:hideMark/>
          </w:tcPr>
          <w:p w14:paraId="18969B6A" w14:textId="77777777" w:rsidR="00EB5FAF" w:rsidRPr="007354A9" w:rsidRDefault="00EB5FAF" w:rsidP="00382389">
            <w:pPr>
              <w:pStyle w:val="table1"/>
              <w:rPr>
                <w:rFonts w:eastAsia="Calibri"/>
                <w:sz w:val="18"/>
                <w:szCs w:val="18"/>
              </w:rPr>
            </w:pPr>
            <w:r w:rsidRPr="007354A9">
              <w:rPr>
                <w:sz w:val="18"/>
                <w:szCs w:val="18"/>
              </w:rPr>
              <w:t>&gt;2GB to 3GB</w:t>
            </w:r>
          </w:p>
        </w:tc>
        <w:tc>
          <w:tcPr>
            <w:tcW w:w="877" w:type="dxa"/>
            <w:tcBorders>
              <w:top w:val="nil"/>
              <w:left w:val="nil"/>
              <w:bottom w:val="single" w:sz="8" w:space="0" w:color="auto"/>
              <w:right w:val="single" w:sz="8" w:space="0" w:color="auto"/>
            </w:tcBorders>
            <w:shd w:val="clear" w:color="auto" w:fill="8DB3E2" w:themeFill="text2" w:themeFillTint="66"/>
            <w:noWrap/>
            <w:tcMar>
              <w:top w:w="0" w:type="dxa"/>
              <w:left w:w="108" w:type="dxa"/>
              <w:bottom w:w="0" w:type="dxa"/>
              <w:right w:w="108" w:type="dxa"/>
            </w:tcMar>
            <w:vAlign w:val="bottom"/>
            <w:hideMark/>
          </w:tcPr>
          <w:p w14:paraId="64D4E6EE" w14:textId="77777777" w:rsidR="00EB5FAF" w:rsidRPr="007354A9" w:rsidRDefault="00EB5FAF" w:rsidP="00382389">
            <w:pPr>
              <w:pStyle w:val="table1"/>
              <w:rPr>
                <w:rFonts w:eastAsia="Calibri"/>
                <w:sz w:val="18"/>
                <w:szCs w:val="18"/>
              </w:rPr>
            </w:pPr>
            <w:r w:rsidRPr="007354A9">
              <w:rPr>
                <w:sz w:val="18"/>
                <w:szCs w:val="18"/>
              </w:rPr>
              <w:t>&gt;3GB to 4GB</w:t>
            </w:r>
          </w:p>
        </w:tc>
        <w:tc>
          <w:tcPr>
            <w:tcW w:w="877" w:type="dxa"/>
            <w:tcBorders>
              <w:top w:val="nil"/>
              <w:left w:val="nil"/>
              <w:bottom w:val="single" w:sz="8" w:space="0" w:color="auto"/>
              <w:right w:val="single" w:sz="8" w:space="0" w:color="auto"/>
            </w:tcBorders>
            <w:shd w:val="clear" w:color="auto" w:fill="8DB3E2" w:themeFill="text2" w:themeFillTint="66"/>
            <w:noWrap/>
            <w:tcMar>
              <w:top w:w="0" w:type="dxa"/>
              <w:left w:w="108" w:type="dxa"/>
              <w:bottom w:w="0" w:type="dxa"/>
              <w:right w:w="108" w:type="dxa"/>
            </w:tcMar>
            <w:vAlign w:val="bottom"/>
            <w:hideMark/>
          </w:tcPr>
          <w:p w14:paraId="56AC25DB" w14:textId="77777777" w:rsidR="00EB5FAF" w:rsidRPr="007354A9" w:rsidRDefault="00EB5FAF" w:rsidP="00382389">
            <w:pPr>
              <w:pStyle w:val="table1"/>
              <w:rPr>
                <w:rFonts w:eastAsia="Calibri"/>
                <w:sz w:val="18"/>
                <w:szCs w:val="18"/>
              </w:rPr>
            </w:pPr>
            <w:r w:rsidRPr="007354A9">
              <w:rPr>
                <w:sz w:val="18"/>
                <w:szCs w:val="18"/>
              </w:rPr>
              <w:t>&gt;4GB to 5GB</w:t>
            </w:r>
          </w:p>
        </w:tc>
        <w:tc>
          <w:tcPr>
            <w:tcW w:w="877" w:type="dxa"/>
            <w:tcBorders>
              <w:top w:val="nil"/>
              <w:left w:val="nil"/>
              <w:bottom w:val="single" w:sz="8" w:space="0" w:color="auto"/>
              <w:right w:val="single" w:sz="8" w:space="0" w:color="auto"/>
            </w:tcBorders>
            <w:shd w:val="clear" w:color="auto" w:fill="8DB3E2" w:themeFill="text2" w:themeFillTint="66"/>
            <w:noWrap/>
            <w:tcMar>
              <w:top w:w="0" w:type="dxa"/>
              <w:left w:w="108" w:type="dxa"/>
              <w:bottom w:w="0" w:type="dxa"/>
              <w:right w:w="108" w:type="dxa"/>
            </w:tcMar>
            <w:vAlign w:val="bottom"/>
            <w:hideMark/>
          </w:tcPr>
          <w:p w14:paraId="253523E4" w14:textId="77777777" w:rsidR="00EB5FAF" w:rsidRPr="007354A9" w:rsidRDefault="00EB5FAF" w:rsidP="00382389">
            <w:pPr>
              <w:pStyle w:val="table1"/>
              <w:rPr>
                <w:rFonts w:eastAsia="Calibri"/>
                <w:sz w:val="18"/>
                <w:szCs w:val="18"/>
              </w:rPr>
            </w:pPr>
            <w:r w:rsidRPr="007354A9">
              <w:rPr>
                <w:sz w:val="18"/>
                <w:szCs w:val="18"/>
              </w:rPr>
              <w:t>&gt;5GB</w:t>
            </w:r>
          </w:p>
        </w:tc>
      </w:tr>
      <w:tr w:rsidR="00EB5FAF" w:rsidRPr="007354A9" w14:paraId="5C6D2CF6" w14:textId="77777777" w:rsidTr="00382389">
        <w:trPr>
          <w:trHeight w:val="288"/>
        </w:trPr>
        <w:tc>
          <w:tcPr>
            <w:tcW w:w="1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41A8408" w14:textId="77777777" w:rsidR="00EB5FAF" w:rsidRPr="007354A9" w:rsidRDefault="00EB5FAF" w:rsidP="00382389">
            <w:pPr>
              <w:pStyle w:val="table2"/>
              <w:rPr>
                <w:szCs w:val="18"/>
              </w:rPr>
            </w:pPr>
            <w:r w:rsidRPr="007354A9">
              <w:rPr>
                <w:szCs w:val="18"/>
              </w:rPr>
              <w:t>PAYG (Basic $20)</w:t>
            </w:r>
          </w:p>
        </w:tc>
        <w:tc>
          <w:tcPr>
            <w:tcW w:w="11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847CDE0" w14:textId="77777777" w:rsidR="00EB5FAF" w:rsidRPr="007354A9" w:rsidRDefault="00EB5FAF" w:rsidP="00382389">
            <w:pPr>
              <w:pStyle w:val="table2"/>
              <w:rPr>
                <w:szCs w:val="18"/>
              </w:rPr>
            </w:pPr>
            <w:r w:rsidRPr="007354A9">
              <w:rPr>
                <w:szCs w:val="18"/>
              </w:rPr>
              <w:t>N/A</w:t>
            </w:r>
          </w:p>
        </w:tc>
        <w:tc>
          <w:tcPr>
            <w:tcW w:w="940" w:type="dxa"/>
            <w:tcBorders>
              <w:top w:val="nil"/>
              <w:left w:val="nil"/>
              <w:bottom w:val="single" w:sz="8" w:space="0" w:color="auto"/>
              <w:right w:val="single" w:sz="4" w:space="0" w:color="auto"/>
            </w:tcBorders>
            <w:vAlign w:val="center"/>
            <w:hideMark/>
          </w:tcPr>
          <w:p w14:paraId="45B1BFDD" w14:textId="77777777" w:rsidR="00EB5FAF" w:rsidRPr="007354A9" w:rsidRDefault="00EB5FAF" w:rsidP="00382389">
            <w:pPr>
              <w:pStyle w:val="table2"/>
              <w:rPr>
                <w:szCs w:val="18"/>
              </w:rPr>
            </w:pPr>
            <w:r w:rsidRPr="007354A9">
              <w:rPr>
                <w:szCs w:val="18"/>
              </w:rPr>
              <w:t>N/A</w:t>
            </w:r>
          </w:p>
        </w:tc>
        <w:tc>
          <w:tcPr>
            <w:tcW w:w="87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4F1A6664" w14:textId="77777777" w:rsidR="00EB5FAF" w:rsidRPr="007354A9" w:rsidRDefault="00EB5FAF" w:rsidP="00382389">
            <w:pPr>
              <w:pStyle w:val="table2"/>
              <w:rPr>
                <w:szCs w:val="18"/>
              </w:rPr>
            </w:pPr>
            <w:r w:rsidRPr="007354A9">
              <w:rPr>
                <w:szCs w:val="18"/>
              </w:rPr>
              <w:t>3.0c/MB</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D6ECDC" w14:textId="77777777" w:rsidR="00EB5FAF" w:rsidRPr="007354A9" w:rsidRDefault="00EB5FAF" w:rsidP="00382389">
            <w:pPr>
              <w:pStyle w:val="table2"/>
              <w:rPr>
                <w:szCs w:val="18"/>
              </w:rPr>
            </w:pPr>
            <w:r w:rsidRPr="007354A9">
              <w:rPr>
                <w:szCs w:val="18"/>
              </w:rPr>
              <w:t>3.0c/MB</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49884A" w14:textId="77777777" w:rsidR="00EB5FAF" w:rsidRPr="007354A9" w:rsidRDefault="00EB5FAF" w:rsidP="00382389">
            <w:pPr>
              <w:pStyle w:val="table2"/>
              <w:rPr>
                <w:szCs w:val="18"/>
              </w:rPr>
            </w:pPr>
            <w:r w:rsidRPr="007354A9">
              <w:rPr>
                <w:szCs w:val="18"/>
              </w:rPr>
              <w:t>3.0c/MB</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FE6CF5" w14:textId="77777777" w:rsidR="00EB5FAF" w:rsidRPr="007354A9" w:rsidRDefault="00EB5FAF" w:rsidP="00382389">
            <w:pPr>
              <w:pStyle w:val="table2"/>
              <w:rPr>
                <w:szCs w:val="18"/>
              </w:rPr>
            </w:pPr>
            <w:r w:rsidRPr="007354A9">
              <w:rPr>
                <w:szCs w:val="18"/>
              </w:rPr>
              <w:t>3.0c/MB</w:t>
            </w:r>
          </w:p>
        </w:tc>
        <w:tc>
          <w:tcPr>
            <w:tcW w:w="87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8A69FF7" w14:textId="77777777" w:rsidR="00EB5FAF" w:rsidRPr="007354A9" w:rsidRDefault="00EB5FAF" w:rsidP="00382389">
            <w:pPr>
              <w:pStyle w:val="table2"/>
              <w:rPr>
                <w:szCs w:val="18"/>
              </w:rPr>
            </w:pPr>
            <w:r w:rsidRPr="007354A9">
              <w:rPr>
                <w:szCs w:val="18"/>
              </w:rPr>
              <w:t>3.0c/MB</w:t>
            </w:r>
          </w:p>
        </w:tc>
        <w:tc>
          <w:tcPr>
            <w:tcW w:w="87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B53799C" w14:textId="77777777" w:rsidR="00EB5FAF" w:rsidRPr="007354A9" w:rsidRDefault="00EB5FAF" w:rsidP="00382389">
            <w:pPr>
              <w:pStyle w:val="table2"/>
              <w:rPr>
                <w:szCs w:val="18"/>
              </w:rPr>
            </w:pPr>
            <w:r w:rsidRPr="007354A9">
              <w:rPr>
                <w:szCs w:val="18"/>
              </w:rPr>
              <w:t>3.0c/MB</w:t>
            </w:r>
          </w:p>
        </w:tc>
      </w:tr>
      <w:tr w:rsidR="00EB5FAF" w:rsidRPr="007354A9" w14:paraId="0F7B4E5D" w14:textId="77777777" w:rsidTr="00382389">
        <w:trPr>
          <w:trHeight w:val="288"/>
        </w:trPr>
        <w:tc>
          <w:tcPr>
            <w:tcW w:w="1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362CAA8" w14:textId="77777777" w:rsidR="00EB5FAF" w:rsidRPr="007354A9" w:rsidRDefault="00EB5FAF" w:rsidP="00382389">
            <w:pPr>
              <w:pStyle w:val="table2"/>
              <w:rPr>
                <w:szCs w:val="18"/>
              </w:rPr>
            </w:pPr>
            <w:r w:rsidRPr="007354A9">
              <w:rPr>
                <w:szCs w:val="18"/>
              </w:rPr>
              <w:t>PAYG (Entry $40, Standard $60, Professional $80, Executive $120, Data SIM $5 or Data SIM $40)</w:t>
            </w:r>
          </w:p>
        </w:tc>
        <w:tc>
          <w:tcPr>
            <w:tcW w:w="11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0058172" w14:textId="77777777" w:rsidR="00EB5FAF" w:rsidRPr="007354A9" w:rsidRDefault="00EB5FAF" w:rsidP="00382389">
            <w:pPr>
              <w:pStyle w:val="table2"/>
              <w:rPr>
                <w:szCs w:val="18"/>
              </w:rPr>
            </w:pPr>
            <w:r w:rsidRPr="007354A9">
              <w:rPr>
                <w:szCs w:val="18"/>
              </w:rPr>
              <w:t>N/A</w:t>
            </w:r>
          </w:p>
        </w:tc>
        <w:tc>
          <w:tcPr>
            <w:tcW w:w="940" w:type="dxa"/>
            <w:tcBorders>
              <w:top w:val="nil"/>
              <w:left w:val="nil"/>
              <w:bottom w:val="single" w:sz="8" w:space="0" w:color="auto"/>
              <w:right w:val="single" w:sz="4" w:space="0" w:color="auto"/>
            </w:tcBorders>
            <w:vAlign w:val="center"/>
            <w:hideMark/>
          </w:tcPr>
          <w:p w14:paraId="4E43DA44" w14:textId="77777777" w:rsidR="00EB5FAF" w:rsidRPr="007354A9" w:rsidRDefault="00EB5FAF" w:rsidP="00382389">
            <w:pPr>
              <w:pStyle w:val="table2"/>
              <w:rPr>
                <w:szCs w:val="18"/>
              </w:rPr>
            </w:pPr>
            <w:r w:rsidRPr="007354A9">
              <w:rPr>
                <w:szCs w:val="18"/>
              </w:rPr>
              <w:t>N/A</w:t>
            </w:r>
          </w:p>
        </w:tc>
        <w:tc>
          <w:tcPr>
            <w:tcW w:w="87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1C19331B" w14:textId="77777777" w:rsidR="00EB5FAF" w:rsidRPr="007354A9" w:rsidRDefault="00EB5FAF" w:rsidP="00382389">
            <w:pPr>
              <w:pStyle w:val="table2"/>
              <w:rPr>
                <w:szCs w:val="18"/>
              </w:rPr>
            </w:pPr>
            <w:r w:rsidRPr="007354A9">
              <w:rPr>
                <w:szCs w:val="18"/>
              </w:rPr>
              <w:t>2.0c/MB</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CA4277" w14:textId="77777777" w:rsidR="00EB5FAF" w:rsidRPr="007354A9" w:rsidRDefault="00EB5FAF" w:rsidP="00382389">
            <w:pPr>
              <w:pStyle w:val="table2"/>
              <w:rPr>
                <w:szCs w:val="18"/>
              </w:rPr>
            </w:pPr>
            <w:r w:rsidRPr="007354A9">
              <w:rPr>
                <w:szCs w:val="18"/>
              </w:rPr>
              <w:t>1.5c/MB</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6496CA" w14:textId="77777777" w:rsidR="00EB5FAF" w:rsidRPr="007354A9" w:rsidRDefault="00EB5FAF" w:rsidP="00382389">
            <w:pPr>
              <w:pStyle w:val="table2"/>
              <w:rPr>
                <w:szCs w:val="18"/>
              </w:rPr>
            </w:pPr>
            <w:r w:rsidRPr="007354A9">
              <w:rPr>
                <w:szCs w:val="18"/>
              </w:rPr>
              <w:t>1.2c/MB</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F988C4" w14:textId="77777777" w:rsidR="00EB5FAF" w:rsidRPr="007354A9" w:rsidRDefault="00EB5FAF" w:rsidP="00382389">
            <w:pPr>
              <w:pStyle w:val="table2"/>
              <w:rPr>
                <w:szCs w:val="18"/>
              </w:rPr>
            </w:pPr>
            <w:r w:rsidRPr="007354A9">
              <w:rPr>
                <w:szCs w:val="18"/>
              </w:rPr>
              <w:t>1.0c/MB</w:t>
            </w:r>
          </w:p>
        </w:tc>
        <w:tc>
          <w:tcPr>
            <w:tcW w:w="87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400A8AF" w14:textId="77777777" w:rsidR="00EB5FAF" w:rsidRPr="007354A9" w:rsidRDefault="00EB5FAF" w:rsidP="00382389">
            <w:pPr>
              <w:pStyle w:val="table2"/>
              <w:rPr>
                <w:szCs w:val="18"/>
              </w:rPr>
            </w:pPr>
            <w:r w:rsidRPr="007354A9">
              <w:rPr>
                <w:szCs w:val="18"/>
              </w:rPr>
              <w:t>0.9c/MB</w:t>
            </w:r>
          </w:p>
        </w:tc>
        <w:tc>
          <w:tcPr>
            <w:tcW w:w="87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3854277A" w14:textId="77777777" w:rsidR="00EB5FAF" w:rsidRPr="007354A9" w:rsidRDefault="00EB5FAF" w:rsidP="00382389">
            <w:pPr>
              <w:pStyle w:val="table2"/>
              <w:rPr>
                <w:szCs w:val="18"/>
              </w:rPr>
            </w:pPr>
            <w:r w:rsidRPr="007354A9">
              <w:rPr>
                <w:szCs w:val="18"/>
              </w:rPr>
              <w:t>0.8c/MB</w:t>
            </w:r>
          </w:p>
        </w:tc>
      </w:tr>
      <w:tr w:rsidR="00EB5FAF" w:rsidRPr="007354A9" w14:paraId="530182BE" w14:textId="77777777" w:rsidTr="00382389">
        <w:trPr>
          <w:trHeight w:val="288"/>
        </w:trPr>
        <w:tc>
          <w:tcPr>
            <w:tcW w:w="1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879ED80" w14:textId="77777777" w:rsidR="00EB5FAF" w:rsidRPr="007354A9" w:rsidRDefault="00EB5FAF" w:rsidP="00382389">
            <w:pPr>
              <w:pStyle w:val="table2"/>
              <w:rPr>
                <w:szCs w:val="18"/>
              </w:rPr>
            </w:pPr>
            <w:r w:rsidRPr="007354A9">
              <w:rPr>
                <w:szCs w:val="18"/>
              </w:rPr>
              <w:t>Committed Data Plan (1GB)</w:t>
            </w:r>
          </w:p>
        </w:tc>
        <w:tc>
          <w:tcPr>
            <w:tcW w:w="11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8990551" w14:textId="77777777" w:rsidR="00EB5FAF" w:rsidRPr="007354A9" w:rsidRDefault="00EB5FAF" w:rsidP="00382389">
            <w:pPr>
              <w:pStyle w:val="table2"/>
              <w:rPr>
                <w:szCs w:val="18"/>
              </w:rPr>
            </w:pPr>
            <w:r w:rsidRPr="007354A9">
              <w:rPr>
                <w:szCs w:val="18"/>
              </w:rPr>
              <w:t>$15 per service</w:t>
            </w:r>
          </w:p>
        </w:tc>
        <w:tc>
          <w:tcPr>
            <w:tcW w:w="940" w:type="dxa"/>
            <w:tcBorders>
              <w:top w:val="nil"/>
              <w:left w:val="nil"/>
              <w:bottom w:val="single" w:sz="8" w:space="0" w:color="auto"/>
              <w:right w:val="single" w:sz="4" w:space="0" w:color="auto"/>
            </w:tcBorders>
            <w:vAlign w:val="center"/>
            <w:hideMark/>
          </w:tcPr>
          <w:p w14:paraId="316DC8A5" w14:textId="77777777" w:rsidR="00EB5FAF" w:rsidRPr="007354A9" w:rsidRDefault="00EB5FAF" w:rsidP="00382389">
            <w:pPr>
              <w:pStyle w:val="table2"/>
              <w:rPr>
                <w:szCs w:val="18"/>
              </w:rPr>
            </w:pPr>
            <w:r w:rsidRPr="007354A9">
              <w:rPr>
                <w:szCs w:val="18"/>
              </w:rPr>
              <w:t>1GB x Service(s)*</w:t>
            </w:r>
          </w:p>
        </w:tc>
        <w:tc>
          <w:tcPr>
            <w:tcW w:w="87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5BB74213" w14:textId="77777777" w:rsidR="00EB5FAF" w:rsidRPr="007354A9" w:rsidRDefault="00EB5FAF" w:rsidP="00382389">
            <w:pPr>
              <w:pStyle w:val="table2"/>
              <w:rPr>
                <w:szCs w:val="18"/>
              </w:rPr>
            </w:pPr>
            <w:r w:rsidRPr="007354A9">
              <w:rPr>
                <w:szCs w:val="18"/>
              </w:rPr>
              <w:t>1.5c/MB</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6EAE78" w14:textId="77777777" w:rsidR="00EB5FAF" w:rsidRPr="007354A9" w:rsidRDefault="00EB5FAF" w:rsidP="00382389">
            <w:pPr>
              <w:pStyle w:val="table2"/>
              <w:rPr>
                <w:szCs w:val="18"/>
              </w:rPr>
            </w:pPr>
            <w:r w:rsidRPr="007354A9">
              <w:rPr>
                <w:szCs w:val="18"/>
              </w:rPr>
              <w:t>1.2c/MB</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27E3B8" w14:textId="77777777" w:rsidR="00EB5FAF" w:rsidRPr="007354A9" w:rsidRDefault="00EB5FAF" w:rsidP="00382389">
            <w:pPr>
              <w:pStyle w:val="table2"/>
              <w:rPr>
                <w:szCs w:val="18"/>
              </w:rPr>
            </w:pPr>
            <w:r w:rsidRPr="007354A9">
              <w:rPr>
                <w:szCs w:val="18"/>
              </w:rPr>
              <w:t>1.0c/MB</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57F78B" w14:textId="77777777" w:rsidR="00EB5FAF" w:rsidRPr="007354A9" w:rsidRDefault="00EB5FAF" w:rsidP="00382389">
            <w:pPr>
              <w:pStyle w:val="table2"/>
              <w:rPr>
                <w:szCs w:val="18"/>
              </w:rPr>
            </w:pPr>
            <w:r w:rsidRPr="007354A9">
              <w:rPr>
                <w:szCs w:val="18"/>
              </w:rPr>
              <w:t>0.9c/MB</w:t>
            </w:r>
          </w:p>
        </w:tc>
        <w:tc>
          <w:tcPr>
            <w:tcW w:w="87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3C03FFB" w14:textId="77777777" w:rsidR="00EB5FAF" w:rsidRPr="007354A9" w:rsidRDefault="00EB5FAF" w:rsidP="00382389">
            <w:pPr>
              <w:pStyle w:val="table2"/>
              <w:rPr>
                <w:szCs w:val="18"/>
              </w:rPr>
            </w:pPr>
            <w:r w:rsidRPr="007354A9">
              <w:rPr>
                <w:szCs w:val="18"/>
              </w:rPr>
              <w:t>0.8c/MB</w:t>
            </w:r>
          </w:p>
        </w:tc>
        <w:tc>
          <w:tcPr>
            <w:tcW w:w="87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163214F" w14:textId="77777777" w:rsidR="00EB5FAF" w:rsidRPr="007354A9" w:rsidRDefault="00EB5FAF" w:rsidP="00382389">
            <w:pPr>
              <w:pStyle w:val="table2"/>
              <w:rPr>
                <w:szCs w:val="18"/>
              </w:rPr>
            </w:pPr>
            <w:r w:rsidRPr="007354A9">
              <w:rPr>
                <w:szCs w:val="18"/>
              </w:rPr>
              <w:t>0.8c/MB</w:t>
            </w:r>
          </w:p>
        </w:tc>
      </w:tr>
      <w:tr w:rsidR="00EB5FAF" w:rsidRPr="007354A9" w14:paraId="643FD271" w14:textId="77777777" w:rsidTr="00382389">
        <w:trPr>
          <w:trHeight w:val="288"/>
        </w:trPr>
        <w:tc>
          <w:tcPr>
            <w:tcW w:w="1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C01A6AA" w14:textId="77777777" w:rsidR="00EB5FAF" w:rsidRPr="007354A9" w:rsidRDefault="00EB5FAF" w:rsidP="00382389">
            <w:pPr>
              <w:pStyle w:val="table2"/>
              <w:rPr>
                <w:szCs w:val="18"/>
              </w:rPr>
            </w:pPr>
            <w:r w:rsidRPr="007354A9">
              <w:rPr>
                <w:szCs w:val="18"/>
              </w:rPr>
              <w:t>Committed Data Plan (2GB)</w:t>
            </w:r>
          </w:p>
        </w:tc>
        <w:tc>
          <w:tcPr>
            <w:tcW w:w="11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663BEE4" w14:textId="77777777" w:rsidR="00EB5FAF" w:rsidRPr="007354A9" w:rsidRDefault="00EB5FAF" w:rsidP="00382389">
            <w:pPr>
              <w:pStyle w:val="table2"/>
              <w:rPr>
                <w:szCs w:val="18"/>
              </w:rPr>
            </w:pPr>
            <w:r w:rsidRPr="007354A9">
              <w:rPr>
                <w:szCs w:val="18"/>
              </w:rPr>
              <w:t>$24 per service</w:t>
            </w:r>
          </w:p>
        </w:tc>
        <w:tc>
          <w:tcPr>
            <w:tcW w:w="940" w:type="dxa"/>
            <w:tcBorders>
              <w:top w:val="nil"/>
              <w:left w:val="nil"/>
              <w:bottom w:val="single" w:sz="8" w:space="0" w:color="auto"/>
              <w:right w:val="single" w:sz="4" w:space="0" w:color="auto"/>
            </w:tcBorders>
            <w:vAlign w:val="center"/>
            <w:hideMark/>
          </w:tcPr>
          <w:p w14:paraId="1B9F29D7" w14:textId="77777777" w:rsidR="00EB5FAF" w:rsidRPr="007354A9" w:rsidRDefault="00EB5FAF" w:rsidP="00382389">
            <w:pPr>
              <w:pStyle w:val="table2"/>
              <w:rPr>
                <w:szCs w:val="18"/>
              </w:rPr>
            </w:pPr>
            <w:r w:rsidRPr="007354A9">
              <w:rPr>
                <w:szCs w:val="18"/>
              </w:rPr>
              <w:t>2GB x Service(s)*</w:t>
            </w:r>
          </w:p>
        </w:tc>
        <w:tc>
          <w:tcPr>
            <w:tcW w:w="87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4414DDFE" w14:textId="77777777" w:rsidR="00EB5FAF" w:rsidRPr="007354A9" w:rsidRDefault="00EB5FAF" w:rsidP="00382389">
            <w:pPr>
              <w:pStyle w:val="table2"/>
              <w:rPr>
                <w:szCs w:val="18"/>
              </w:rPr>
            </w:pPr>
            <w:r w:rsidRPr="007354A9">
              <w:rPr>
                <w:szCs w:val="18"/>
              </w:rPr>
              <w:t>1.2c/MB</w:t>
            </w:r>
          </w:p>
        </w:tc>
        <w:tc>
          <w:tcPr>
            <w:tcW w:w="877" w:type="dxa"/>
            <w:tcBorders>
              <w:top w:val="nil"/>
              <w:left w:val="nil"/>
              <w:bottom w:val="single" w:sz="8" w:space="0" w:color="auto"/>
              <w:right w:val="single" w:sz="8" w:space="0" w:color="auto"/>
            </w:tcBorders>
            <w:vAlign w:val="center"/>
            <w:hideMark/>
          </w:tcPr>
          <w:p w14:paraId="6F953EA6" w14:textId="77777777" w:rsidR="00EB5FAF" w:rsidRPr="007354A9" w:rsidRDefault="00EB5FAF" w:rsidP="00382389">
            <w:pPr>
              <w:pStyle w:val="table2"/>
              <w:rPr>
                <w:szCs w:val="18"/>
              </w:rPr>
            </w:pPr>
            <w:r w:rsidRPr="007354A9">
              <w:rPr>
                <w:szCs w:val="18"/>
              </w:rPr>
              <w:t>1.0c/MB</w:t>
            </w:r>
          </w:p>
        </w:tc>
        <w:tc>
          <w:tcPr>
            <w:tcW w:w="8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915D4A" w14:textId="77777777" w:rsidR="00EB5FAF" w:rsidRPr="007354A9" w:rsidRDefault="00EB5FAF" w:rsidP="00382389">
            <w:pPr>
              <w:pStyle w:val="table2"/>
              <w:rPr>
                <w:szCs w:val="18"/>
              </w:rPr>
            </w:pPr>
            <w:r w:rsidRPr="007354A9">
              <w:rPr>
                <w:szCs w:val="18"/>
              </w:rPr>
              <w:t>0.9c/MB</w:t>
            </w:r>
          </w:p>
        </w:tc>
        <w:tc>
          <w:tcPr>
            <w:tcW w:w="87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22B4CACF" w14:textId="77777777" w:rsidR="00EB5FAF" w:rsidRPr="007354A9" w:rsidRDefault="00EB5FAF" w:rsidP="00382389">
            <w:pPr>
              <w:pStyle w:val="table2"/>
              <w:rPr>
                <w:szCs w:val="18"/>
              </w:rPr>
            </w:pPr>
            <w:r w:rsidRPr="007354A9">
              <w:rPr>
                <w:szCs w:val="18"/>
              </w:rPr>
              <w:t>0.8c/MB</w:t>
            </w:r>
          </w:p>
        </w:tc>
        <w:tc>
          <w:tcPr>
            <w:tcW w:w="87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CD52265" w14:textId="77777777" w:rsidR="00EB5FAF" w:rsidRPr="007354A9" w:rsidRDefault="00EB5FAF" w:rsidP="00382389">
            <w:pPr>
              <w:pStyle w:val="table2"/>
              <w:rPr>
                <w:szCs w:val="18"/>
              </w:rPr>
            </w:pPr>
            <w:r w:rsidRPr="007354A9">
              <w:rPr>
                <w:szCs w:val="18"/>
              </w:rPr>
              <w:t>0.8c/MB</w:t>
            </w:r>
          </w:p>
        </w:tc>
        <w:tc>
          <w:tcPr>
            <w:tcW w:w="87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7954332" w14:textId="77777777" w:rsidR="00EB5FAF" w:rsidRPr="007354A9" w:rsidRDefault="00EB5FAF" w:rsidP="00382389">
            <w:pPr>
              <w:pStyle w:val="table2"/>
              <w:rPr>
                <w:szCs w:val="18"/>
              </w:rPr>
            </w:pPr>
            <w:r w:rsidRPr="007354A9">
              <w:rPr>
                <w:szCs w:val="18"/>
              </w:rPr>
              <w:t>0.8c/MB</w:t>
            </w:r>
          </w:p>
        </w:tc>
      </w:tr>
      <w:tr w:rsidR="00EB5FAF" w:rsidRPr="007354A9" w14:paraId="224358D0" w14:textId="77777777" w:rsidTr="00382389">
        <w:trPr>
          <w:trHeight w:val="288"/>
        </w:trPr>
        <w:tc>
          <w:tcPr>
            <w:tcW w:w="1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F792DDC" w14:textId="77777777" w:rsidR="00EB5FAF" w:rsidRPr="007354A9" w:rsidRDefault="00EB5FAF" w:rsidP="00382389">
            <w:pPr>
              <w:pStyle w:val="table2"/>
              <w:rPr>
                <w:szCs w:val="18"/>
              </w:rPr>
            </w:pPr>
            <w:r w:rsidRPr="007354A9">
              <w:rPr>
                <w:szCs w:val="18"/>
              </w:rPr>
              <w:t>Committed Data Plan (3GB)</w:t>
            </w:r>
          </w:p>
        </w:tc>
        <w:tc>
          <w:tcPr>
            <w:tcW w:w="11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6E157F1" w14:textId="77777777" w:rsidR="00EB5FAF" w:rsidRPr="007354A9" w:rsidRDefault="00EB5FAF" w:rsidP="00382389">
            <w:pPr>
              <w:pStyle w:val="table2"/>
              <w:rPr>
                <w:szCs w:val="18"/>
              </w:rPr>
            </w:pPr>
            <w:r w:rsidRPr="007354A9">
              <w:rPr>
                <w:szCs w:val="18"/>
              </w:rPr>
              <w:t>$30 per service</w:t>
            </w:r>
          </w:p>
        </w:tc>
        <w:tc>
          <w:tcPr>
            <w:tcW w:w="940" w:type="dxa"/>
            <w:tcBorders>
              <w:top w:val="nil"/>
              <w:left w:val="nil"/>
              <w:bottom w:val="single" w:sz="8" w:space="0" w:color="auto"/>
              <w:right w:val="single" w:sz="4" w:space="0" w:color="auto"/>
            </w:tcBorders>
            <w:vAlign w:val="center"/>
            <w:hideMark/>
          </w:tcPr>
          <w:p w14:paraId="6DF79EAD" w14:textId="77777777" w:rsidR="00EB5FAF" w:rsidRPr="007354A9" w:rsidRDefault="00EB5FAF" w:rsidP="00382389">
            <w:pPr>
              <w:pStyle w:val="table2"/>
              <w:rPr>
                <w:szCs w:val="18"/>
              </w:rPr>
            </w:pPr>
            <w:r w:rsidRPr="007354A9">
              <w:rPr>
                <w:szCs w:val="18"/>
              </w:rPr>
              <w:t>3GB x Service(s)*</w:t>
            </w:r>
          </w:p>
        </w:tc>
        <w:tc>
          <w:tcPr>
            <w:tcW w:w="87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4F8F42CA" w14:textId="77777777" w:rsidR="00EB5FAF" w:rsidRPr="007354A9" w:rsidRDefault="00EB5FAF" w:rsidP="00382389">
            <w:pPr>
              <w:pStyle w:val="table2"/>
              <w:rPr>
                <w:szCs w:val="18"/>
              </w:rPr>
            </w:pPr>
            <w:r w:rsidRPr="007354A9">
              <w:rPr>
                <w:szCs w:val="18"/>
              </w:rPr>
              <w:t>1.0c/MB</w:t>
            </w:r>
          </w:p>
        </w:tc>
        <w:tc>
          <w:tcPr>
            <w:tcW w:w="877" w:type="dxa"/>
            <w:tcBorders>
              <w:top w:val="nil"/>
              <w:left w:val="nil"/>
              <w:bottom w:val="single" w:sz="8" w:space="0" w:color="auto"/>
              <w:right w:val="single" w:sz="8" w:space="0" w:color="auto"/>
            </w:tcBorders>
            <w:vAlign w:val="center"/>
            <w:hideMark/>
          </w:tcPr>
          <w:p w14:paraId="4602279C" w14:textId="77777777" w:rsidR="00EB5FAF" w:rsidRPr="007354A9" w:rsidRDefault="00EB5FAF" w:rsidP="00382389">
            <w:pPr>
              <w:pStyle w:val="table2"/>
              <w:rPr>
                <w:szCs w:val="18"/>
              </w:rPr>
            </w:pPr>
            <w:r w:rsidRPr="007354A9">
              <w:rPr>
                <w:szCs w:val="18"/>
              </w:rPr>
              <w:t>0.9c/MB</w:t>
            </w:r>
          </w:p>
        </w:tc>
        <w:tc>
          <w:tcPr>
            <w:tcW w:w="877" w:type="dxa"/>
            <w:tcBorders>
              <w:top w:val="nil"/>
              <w:left w:val="nil"/>
              <w:bottom w:val="single" w:sz="8" w:space="0" w:color="auto"/>
              <w:right w:val="single" w:sz="8" w:space="0" w:color="auto"/>
            </w:tcBorders>
            <w:shd w:val="clear" w:color="auto" w:fill="D9D9D9"/>
            <w:vAlign w:val="center"/>
            <w:hideMark/>
          </w:tcPr>
          <w:p w14:paraId="5BB6588C" w14:textId="77777777" w:rsidR="00EB5FAF" w:rsidRPr="007354A9" w:rsidRDefault="00EB5FAF" w:rsidP="00382389">
            <w:pPr>
              <w:pStyle w:val="table2"/>
              <w:rPr>
                <w:szCs w:val="18"/>
              </w:rPr>
            </w:pPr>
            <w:r w:rsidRPr="007354A9">
              <w:rPr>
                <w:szCs w:val="18"/>
              </w:rPr>
              <w:t>0.8c/MB</w:t>
            </w:r>
          </w:p>
        </w:tc>
        <w:tc>
          <w:tcPr>
            <w:tcW w:w="87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D6FDAA2" w14:textId="77777777" w:rsidR="00EB5FAF" w:rsidRPr="007354A9" w:rsidRDefault="00EB5FAF" w:rsidP="00382389">
            <w:pPr>
              <w:pStyle w:val="table2"/>
              <w:rPr>
                <w:szCs w:val="18"/>
              </w:rPr>
            </w:pPr>
            <w:r w:rsidRPr="007354A9">
              <w:rPr>
                <w:szCs w:val="18"/>
              </w:rPr>
              <w:t>0.8c/MB</w:t>
            </w:r>
          </w:p>
        </w:tc>
        <w:tc>
          <w:tcPr>
            <w:tcW w:w="87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72368A5" w14:textId="77777777" w:rsidR="00EB5FAF" w:rsidRPr="007354A9" w:rsidRDefault="00EB5FAF" w:rsidP="00382389">
            <w:pPr>
              <w:pStyle w:val="table2"/>
              <w:rPr>
                <w:szCs w:val="18"/>
              </w:rPr>
            </w:pPr>
            <w:r w:rsidRPr="007354A9">
              <w:rPr>
                <w:szCs w:val="18"/>
              </w:rPr>
              <w:t>0.8c/MB</w:t>
            </w:r>
          </w:p>
        </w:tc>
        <w:tc>
          <w:tcPr>
            <w:tcW w:w="87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34725C15" w14:textId="77777777" w:rsidR="00EB5FAF" w:rsidRPr="007354A9" w:rsidRDefault="00EB5FAF" w:rsidP="00382389">
            <w:pPr>
              <w:pStyle w:val="table2"/>
              <w:rPr>
                <w:szCs w:val="18"/>
              </w:rPr>
            </w:pPr>
            <w:r w:rsidRPr="007354A9">
              <w:rPr>
                <w:szCs w:val="18"/>
              </w:rPr>
              <w:t>0.8c/MB</w:t>
            </w:r>
          </w:p>
        </w:tc>
      </w:tr>
      <w:tr w:rsidR="00EB5FAF" w:rsidRPr="007354A9" w14:paraId="5F9BB486" w14:textId="77777777" w:rsidTr="00382389">
        <w:trPr>
          <w:trHeight w:val="288"/>
        </w:trPr>
        <w:tc>
          <w:tcPr>
            <w:tcW w:w="1666"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0CB2EC79" w14:textId="77777777" w:rsidR="00EB5FAF" w:rsidRPr="007354A9" w:rsidRDefault="00EB5FAF" w:rsidP="00382389">
            <w:pPr>
              <w:pStyle w:val="table2"/>
              <w:rPr>
                <w:szCs w:val="18"/>
              </w:rPr>
            </w:pPr>
            <w:r w:rsidRPr="007354A9">
              <w:rPr>
                <w:szCs w:val="18"/>
              </w:rPr>
              <w:t>Committed Data Plan (4GB)</w:t>
            </w:r>
          </w:p>
        </w:tc>
        <w:tc>
          <w:tcPr>
            <w:tcW w:w="1193"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47268751" w14:textId="77777777" w:rsidR="00EB5FAF" w:rsidRPr="007354A9" w:rsidRDefault="00EB5FAF" w:rsidP="00382389">
            <w:pPr>
              <w:pStyle w:val="table2"/>
              <w:rPr>
                <w:szCs w:val="18"/>
              </w:rPr>
            </w:pPr>
            <w:r w:rsidRPr="007354A9">
              <w:rPr>
                <w:szCs w:val="18"/>
              </w:rPr>
              <w:t>$36 per service</w:t>
            </w:r>
          </w:p>
        </w:tc>
        <w:tc>
          <w:tcPr>
            <w:tcW w:w="940" w:type="dxa"/>
            <w:tcBorders>
              <w:top w:val="nil"/>
              <w:left w:val="nil"/>
              <w:bottom w:val="single" w:sz="4" w:space="0" w:color="auto"/>
              <w:right w:val="single" w:sz="4" w:space="0" w:color="auto"/>
            </w:tcBorders>
            <w:vAlign w:val="center"/>
            <w:hideMark/>
          </w:tcPr>
          <w:p w14:paraId="2C221275" w14:textId="77777777" w:rsidR="00EB5FAF" w:rsidRPr="007354A9" w:rsidRDefault="00EB5FAF" w:rsidP="00382389">
            <w:pPr>
              <w:pStyle w:val="table2"/>
              <w:rPr>
                <w:szCs w:val="18"/>
              </w:rPr>
            </w:pPr>
            <w:r w:rsidRPr="007354A9">
              <w:rPr>
                <w:szCs w:val="18"/>
              </w:rPr>
              <w:t>4GB x Service(s)*</w:t>
            </w:r>
          </w:p>
        </w:tc>
        <w:tc>
          <w:tcPr>
            <w:tcW w:w="877" w:type="dxa"/>
            <w:tcBorders>
              <w:top w:val="nil"/>
              <w:left w:val="single" w:sz="4" w:space="0" w:color="auto"/>
              <w:bottom w:val="single" w:sz="4" w:space="0" w:color="auto"/>
              <w:right w:val="single" w:sz="8" w:space="0" w:color="auto"/>
            </w:tcBorders>
            <w:noWrap/>
            <w:tcMar>
              <w:top w:w="0" w:type="dxa"/>
              <w:left w:w="108" w:type="dxa"/>
              <w:bottom w:w="0" w:type="dxa"/>
              <w:right w:w="108" w:type="dxa"/>
            </w:tcMar>
            <w:vAlign w:val="center"/>
            <w:hideMark/>
          </w:tcPr>
          <w:p w14:paraId="322AD8CA" w14:textId="77777777" w:rsidR="00EB5FAF" w:rsidRPr="007354A9" w:rsidRDefault="00EB5FAF" w:rsidP="00382389">
            <w:pPr>
              <w:pStyle w:val="table2"/>
              <w:rPr>
                <w:szCs w:val="18"/>
              </w:rPr>
            </w:pPr>
            <w:r w:rsidRPr="007354A9">
              <w:rPr>
                <w:szCs w:val="18"/>
              </w:rPr>
              <w:t>0.9c/MB</w:t>
            </w:r>
          </w:p>
        </w:tc>
        <w:tc>
          <w:tcPr>
            <w:tcW w:w="877" w:type="dxa"/>
            <w:tcBorders>
              <w:top w:val="nil"/>
              <w:left w:val="nil"/>
              <w:bottom w:val="single" w:sz="4" w:space="0" w:color="auto"/>
              <w:right w:val="single" w:sz="8" w:space="0" w:color="auto"/>
            </w:tcBorders>
            <w:shd w:val="clear" w:color="auto" w:fill="D9D9D9"/>
            <w:vAlign w:val="center"/>
            <w:hideMark/>
          </w:tcPr>
          <w:p w14:paraId="30CB7F65" w14:textId="77777777" w:rsidR="00EB5FAF" w:rsidRPr="007354A9" w:rsidRDefault="00EB5FAF" w:rsidP="00382389">
            <w:pPr>
              <w:pStyle w:val="table2"/>
              <w:rPr>
                <w:szCs w:val="18"/>
              </w:rPr>
            </w:pPr>
            <w:r w:rsidRPr="007354A9">
              <w:rPr>
                <w:szCs w:val="18"/>
              </w:rPr>
              <w:t>0.8c/MB</w:t>
            </w:r>
          </w:p>
        </w:tc>
        <w:tc>
          <w:tcPr>
            <w:tcW w:w="877" w:type="dxa"/>
            <w:tcBorders>
              <w:top w:val="nil"/>
              <w:left w:val="nil"/>
              <w:bottom w:val="single" w:sz="4" w:space="0" w:color="auto"/>
              <w:right w:val="single" w:sz="8" w:space="0" w:color="auto"/>
            </w:tcBorders>
            <w:shd w:val="clear" w:color="auto" w:fill="D9D9D9"/>
            <w:vAlign w:val="center"/>
            <w:hideMark/>
          </w:tcPr>
          <w:p w14:paraId="09E32082" w14:textId="77777777" w:rsidR="00EB5FAF" w:rsidRPr="007354A9" w:rsidRDefault="00EB5FAF" w:rsidP="00382389">
            <w:pPr>
              <w:pStyle w:val="table2"/>
              <w:rPr>
                <w:szCs w:val="18"/>
              </w:rPr>
            </w:pPr>
            <w:r w:rsidRPr="007354A9">
              <w:rPr>
                <w:szCs w:val="18"/>
              </w:rPr>
              <w:t>0.8c/MB</w:t>
            </w:r>
          </w:p>
        </w:tc>
        <w:tc>
          <w:tcPr>
            <w:tcW w:w="877" w:type="dxa"/>
            <w:tcBorders>
              <w:top w:val="nil"/>
              <w:left w:val="nil"/>
              <w:bottom w:val="single" w:sz="4" w:space="0" w:color="auto"/>
              <w:right w:val="single" w:sz="8" w:space="0" w:color="auto"/>
            </w:tcBorders>
            <w:shd w:val="clear" w:color="auto" w:fill="D9D9D9"/>
            <w:vAlign w:val="center"/>
            <w:hideMark/>
          </w:tcPr>
          <w:p w14:paraId="6962D465" w14:textId="77777777" w:rsidR="00EB5FAF" w:rsidRPr="007354A9" w:rsidRDefault="00EB5FAF" w:rsidP="00382389">
            <w:pPr>
              <w:pStyle w:val="table2"/>
              <w:rPr>
                <w:szCs w:val="18"/>
              </w:rPr>
            </w:pPr>
            <w:r w:rsidRPr="007354A9">
              <w:rPr>
                <w:szCs w:val="18"/>
              </w:rPr>
              <w:t>0.8c/MB</w:t>
            </w:r>
          </w:p>
        </w:tc>
        <w:tc>
          <w:tcPr>
            <w:tcW w:w="877" w:type="dxa"/>
            <w:tcBorders>
              <w:top w:val="nil"/>
              <w:left w:val="nil"/>
              <w:bottom w:val="single" w:sz="4" w:space="0" w:color="auto"/>
              <w:right w:val="single" w:sz="8" w:space="0" w:color="auto"/>
            </w:tcBorders>
            <w:shd w:val="clear" w:color="auto" w:fill="D9D9D9"/>
            <w:noWrap/>
            <w:tcMar>
              <w:top w:w="0" w:type="dxa"/>
              <w:left w:w="108" w:type="dxa"/>
              <w:bottom w:w="0" w:type="dxa"/>
              <w:right w:w="108" w:type="dxa"/>
            </w:tcMar>
            <w:vAlign w:val="center"/>
            <w:hideMark/>
          </w:tcPr>
          <w:p w14:paraId="0F7B173D" w14:textId="77777777" w:rsidR="00EB5FAF" w:rsidRPr="007354A9" w:rsidRDefault="00EB5FAF" w:rsidP="00382389">
            <w:pPr>
              <w:pStyle w:val="table2"/>
              <w:rPr>
                <w:szCs w:val="18"/>
              </w:rPr>
            </w:pPr>
            <w:r w:rsidRPr="007354A9">
              <w:rPr>
                <w:szCs w:val="18"/>
              </w:rPr>
              <w:t>0.8c/MB</w:t>
            </w:r>
          </w:p>
        </w:tc>
        <w:tc>
          <w:tcPr>
            <w:tcW w:w="877" w:type="dxa"/>
            <w:tcBorders>
              <w:top w:val="nil"/>
              <w:left w:val="nil"/>
              <w:bottom w:val="single" w:sz="4" w:space="0" w:color="auto"/>
              <w:right w:val="single" w:sz="8" w:space="0" w:color="auto"/>
            </w:tcBorders>
            <w:shd w:val="clear" w:color="auto" w:fill="D9D9D9"/>
            <w:noWrap/>
            <w:tcMar>
              <w:top w:w="0" w:type="dxa"/>
              <w:left w:w="108" w:type="dxa"/>
              <w:bottom w:w="0" w:type="dxa"/>
              <w:right w:w="108" w:type="dxa"/>
            </w:tcMar>
            <w:vAlign w:val="center"/>
            <w:hideMark/>
          </w:tcPr>
          <w:p w14:paraId="00372BE6" w14:textId="77777777" w:rsidR="00EB5FAF" w:rsidRPr="007354A9" w:rsidRDefault="00EB5FAF" w:rsidP="00382389">
            <w:pPr>
              <w:pStyle w:val="table2"/>
              <w:rPr>
                <w:szCs w:val="18"/>
              </w:rPr>
            </w:pPr>
            <w:r w:rsidRPr="007354A9">
              <w:rPr>
                <w:szCs w:val="18"/>
              </w:rPr>
              <w:t>0.8c/MB</w:t>
            </w:r>
          </w:p>
        </w:tc>
      </w:tr>
      <w:tr w:rsidR="00EB5FAF" w:rsidRPr="007354A9" w14:paraId="78901446" w14:textId="77777777" w:rsidTr="00382389">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73696BB1" w14:textId="77777777" w:rsidR="00EB5FAF" w:rsidRPr="007354A9" w:rsidRDefault="00EB5FAF" w:rsidP="00382389">
            <w:pPr>
              <w:pStyle w:val="table2"/>
              <w:rPr>
                <w:szCs w:val="18"/>
              </w:rPr>
            </w:pPr>
            <w:r w:rsidRPr="007354A9">
              <w:rPr>
                <w:szCs w:val="18"/>
              </w:rPr>
              <w:t>Committed Data Plan (5GB)</w:t>
            </w:r>
          </w:p>
        </w:tc>
        <w:tc>
          <w:tcPr>
            <w:tcW w:w="119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2E556CEC" w14:textId="77777777" w:rsidR="00EB5FAF" w:rsidRPr="007354A9" w:rsidRDefault="00EB5FAF" w:rsidP="00382389">
            <w:pPr>
              <w:pStyle w:val="table2"/>
              <w:rPr>
                <w:szCs w:val="18"/>
              </w:rPr>
            </w:pPr>
            <w:r w:rsidRPr="007354A9">
              <w:rPr>
                <w:szCs w:val="18"/>
              </w:rPr>
              <w:t>$40 per service</w:t>
            </w:r>
          </w:p>
        </w:tc>
        <w:tc>
          <w:tcPr>
            <w:tcW w:w="940" w:type="dxa"/>
            <w:tcBorders>
              <w:top w:val="single" w:sz="4" w:space="0" w:color="auto"/>
              <w:left w:val="single" w:sz="4" w:space="0" w:color="auto"/>
              <w:bottom w:val="single" w:sz="4" w:space="0" w:color="auto"/>
              <w:right w:val="single" w:sz="4" w:space="0" w:color="auto"/>
            </w:tcBorders>
            <w:vAlign w:val="center"/>
            <w:hideMark/>
          </w:tcPr>
          <w:p w14:paraId="1E406AE2" w14:textId="77777777" w:rsidR="00EB5FAF" w:rsidRPr="007354A9" w:rsidRDefault="00EB5FAF" w:rsidP="00382389">
            <w:pPr>
              <w:pStyle w:val="table2"/>
              <w:rPr>
                <w:szCs w:val="18"/>
              </w:rPr>
            </w:pPr>
            <w:r w:rsidRPr="007354A9">
              <w:rPr>
                <w:szCs w:val="18"/>
              </w:rPr>
              <w:t>5GB x Service(s)*</w:t>
            </w:r>
          </w:p>
        </w:tc>
        <w:tc>
          <w:tcPr>
            <w:tcW w:w="877"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vAlign w:val="center"/>
            <w:hideMark/>
          </w:tcPr>
          <w:p w14:paraId="28512F14"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87D6F9"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4EFDF3"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7137E8"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7A9706"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vAlign w:val="center"/>
            <w:hideMark/>
          </w:tcPr>
          <w:p w14:paraId="68008F8D" w14:textId="77777777" w:rsidR="00EB5FAF" w:rsidRPr="007354A9" w:rsidRDefault="00EB5FAF" w:rsidP="00382389">
            <w:pPr>
              <w:pStyle w:val="table2"/>
              <w:rPr>
                <w:szCs w:val="18"/>
              </w:rPr>
            </w:pPr>
            <w:r w:rsidRPr="007354A9">
              <w:rPr>
                <w:szCs w:val="18"/>
              </w:rPr>
              <w:t>0.8c/MB</w:t>
            </w:r>
          </w:p>
        </w:tc>
      </w:tr>
      <w:tr w:rsidR="00EB5FAF" w:rsidRPr="007354A9" w14:paraId="50707088" w14:textId="77777777" w:rsidTr="00382389">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4A66AB87" w14:textId="77777777" w:rsidR="00EB5FAF" w:rsidRPr="007354A9" w:rsidRDefault="00EB5FAF" w:rsidP="00382389">
            <w:pPr>
              <w:pStyle w:val="table2"/>
              <w:rPr>
                <w:szCs w:val="18"/>
              </w:rPr>
            </w:pPr>
            <w:r w:rsidRPr="007354A9">
              <w:rPr>
                <w:szCs w:val="18"/>
              </w:rPr>
              <w:t>Committed Data Plan (7.5GB)</w:t>
            </w:r>
          </w:p>
        </w:tc>
        <w:tc>
          <w:tcPr>
            <w:tcW w:w="119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5FCF3BAC" w14:textId="77777777" w:rsidR="00EB5FAF" w:rsidRPr="007354A9" w:rsidRDefault="00EB5FAF" w:rsidP="00382389">
            <w:pPr>
              <w:pStyle w:val="table2"/>
              <w:rPr>
                <w:szCs w:val="18"/>
              </w:rPr>
            </w:pPr>
            <w:r w:rsidRPr="007354A9">
              <w:rPr>
                <w:szCs w:val="18"/>
              </w:rPr>
              <w:t>$45 per service</w:t>
            </w:r>
          </w:p>
        </w:tc>
        <w:tc>
          <w:tcPr>
            <w:tcW w:w="940" w:type="dxa"/>
            <w:tcBorders>
              <w:top w:val="single" w:sz="4" w:space="0" w:color="auto"/>
              <w:left w:val="single" w:sz="4" w:space="0" w:color="auto"/>
              <w:bottom w:val="single" w:sz="4" w:space="0" w:color="auto"/>
              <w:right w:val="single" w:sz="4" w:space="0" w:color="auto"/>
            </w:tcBorders>
            <w:vAlign w:val="center"/>
            <w:hideMark/>
          </w:tcPr>
          <w:p w14:paraId="2C312953" w14:textId="77777777" w:rsidR="00EB5FAF" w:rsidRPr="007354A9" w:rsidRDefault="00EB5FAF" w:rsidP="00382389">
            <w:pPr>
              <w:pStyle w:val="table2"/>
              <w:rPr>
                <w:szCs w:val="18"/>
              </w:rPr>
            </w:pPr>
            <w:r w:rsidRPr="007354A9">
              <w:rPr>
                <w:szCs w:val="18"/>
              </w:rPr>
              <w:t>7.5GB x Service(s)*</w:t>
            </w:r>
          </w:p>
        </w:tc>
        <w:tc>
          <w:tcPr>
            <w:tcW w:w="877"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vAlign w:val="center"/>
            <w:hideMark/>
          </w:tcPr>
          <w:p w14:paraId="750B27F2"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08641A"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F51696"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02380"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0EC960"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vAlign w:val="center"/>
            <w:hideMark/>
          </w:tcPr>
          <w:p w14:paraId="48506CF3" w14:textId="77777777" w:rsidR="00EB5FAF" w:rsidRPr="007354A9" w:rsidRDefault="00EB5FAF" w:rsidP="00382389">
            <w:pPr>
              <w:pStyle w:val="table2"/>
              <w:rPr>
                <w:szCs w:val="18"/>
              </w:rPr>
            </w:pPr>
            <w:r w:rsidRPr="007354A9">
              <w:rPr>
                <w:szCs w:val="18"/>
              </w:rPr>
              <w:t>0.8c/MB</w:t>
            </w:r>
          </w:p>
        </w:tc>
      </w:tr>
      <w:tr w:rsidR="00EB5FAF" w:rsidRPr="007354A9" w14:paraId="4E7BFFDD" w14:textId="77777777" w:rsidTr="00382389">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0499EB79" w14:textId="77777777" w:rsidR="00EB5FAF" w:rsidRPr="007354A9" w:rsidRDefault="00EB5FAF" w:rsidP="00382389">
            <w:pPr>
              <w:pStyle w:val="table2"/>
              <w:rPr>
                <w:szCs w:val="18"/>
              </w:rPr>
            </w:pPr>
            <w:r w:rsidRPr="007354A9">
              <w:rPr>
                <w:szCs w:val="18"/>
              </w:rPr>
              <w:t>Committed Data Plan (10GB)</w:t>
            </w:r>
          </w:p>
        </w:tc>
        <w:tc>
          <w:tcPr>
            <w:tcW w:w="119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1FEB412C" w14:textId="77777777" w:rsidR="00EB5FAF" w:rsidRPr="007354A9" w:rsidRDefault="00EB5FAF" w:rsidP="00382389">
            <w:pPr>
              <w:pStyle w:val="table2"/>
              <w:rPr>
                <w:szCs w:val="18"/>
              </w:rPr>
            </w:pPr>
            <w:r w:rsidRPr="007354A9">
              <w:rPr>
                <w:szCs w:val="18"/>
              </w:rPr>
              <w:t>$50 per service</w:t>
            </w:r>
          </w:p>
        </w:tc>
        <w:tc>
          <w:tcPr>
            <w:tcW w:w="940" w:type="dxa"/>
            <w:tcBorders>
              <w:top w:val="single" w:sz="4" w:space="0" w:color="auto"/>
              <w:left w:val="single" w:sz="4" w:space="0" w:color="auto"/>
              <w:bottom w:val="single" w:sz="4" w:space="0" w:color="auto"/>
              <w:right w:val="single" w:sz="4" w:space="0" w:color="auto"/>
            </w:tcBorders>
            <w:vAlign w:val="center"/>
            <w:hideMark/>
          </w:tcPr>
          <w:p w14:paraId="1F300203" w14:textId="77777777" w:rsidR="00EB5FAF" w:rsidRPr="007354A9" w:rsidRDefault="00EB5FAF" w:rsidP="00382389">
            <w:pPr>
              <w:pStyle w:val="table2"/>
              <w:rPr>
                <w:szCs w:val="18"/>
              </w:rPr>
            </w:pPr>
            <w:r w:rsidRPr="007354A9">
              <w:rPr>
                <w:szCs w:val="18"/>
              </w:rPr>
              <w:t>10GB x Service(s)*</w:t>
            </w:r>
          </w:p>
        </w:tc>
        <w:tc>
          <w:tcPr>
            <w:tcW w:w="877"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vAlign w:val="center"/>
            <w:hideMark/>
          </w:tcPr>
          <w:p w14:paraId="0FC9FC71"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E63C3D"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A1CB0C"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F771DD"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D7F158"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vAlign w:val="center"/>
            <w:hideMark/>
          </w:tcPr>
          <w:p w14:paraId="64529070" w14:textId="77777777" w:rsidR="00EB5FAF" w:rsidRPr="007354A9" w:rsidRDefault="00EB5FAF" w:rsidP="00382389">
            <w:pPr>
              <w:pStyle w:val="table2"/>
              <w:rPr>
                <w:szCs w:val="18"/>
              </w:rPr>
            </w:pPr>
            <w:r w:rsidRPr="007354A9">
              <w:rPr>
                <w:szCs w:val="18"/>
              </w:rPr>
              <w:t>0.8c/MB</w:t>
            </w:r>
          </w:p>
        </w:tc>
      </w:tr>
      <w:tr w:rsidR="00EB5FAF" w:rsidRPr="007354A9" w14:paraId="35FCC8CF" w14:textId="77777777" w:rsidTr="00382389">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6139FB3" w14:textId="77777777" w:rsidR="00EB5FAF" w:rsidRPr="007354A9" w:rsidRDefault="00EB5FAF" w:rsidP="00382389">
            <w:pPr>
              <w:pStyle w:val="table2"/>
              <w:rPr>
                <w:szCs w:val="18"/>
              </w:rPr>
            </w:pPr>
            <w:r>
              <w:rPr>
                <w:szCs w:val="18"/>
              </w:rPr>
              <w:t>Committed Data Plan (2</w:t>
            </w:r>
            <w:r w:rsidRPr="007354A9">
              <w:rPr>
                <w:szCs w:val="18"/>
              </w:rPr>
              <w:t>0GB)</w:t>
            </w:r>
          </w:p>
        </w:tc>
        <w:tc>
          <w:tcPr>
            <w:tcW w:w="119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9E24469" w14:textId="77777777" w:rsidR="00EB5FAF" w:rsidRPr="007354A9" w:rsidRDefault="00EB5FAF" w:rsidP="00382389">
            <w:pPr>
              <w:pStyle w:val="table2"/>
              <w:rPr>
                <w:szCs w:val="18"/>
              </w:rPr>
            </w:pPr>
            <w:r w:rsidRPr="007354A9">
              <w:rPr>
                <w:szCs w:val="18"/>
              </w:rPr>
              <w:t>$</w:t>
            </w:r>
            <w:r>
              <w:rPr>
                <w:szCs w:val="18"/>
              </w:rPr>
              <w:t>55</w:t>
            </w:r>
            <w:r w:rsidRPr="007354A9">
              <w:rPr>
                <w:szCs w:val="18"/>
              </w:rPr>
              <w:t xml:space="preserve"> per service</w:t>
            </w:r>
          </w:p>
        </w:tc>
        <w:tc>
          <w:tcPr>
            <w:tcW w:w="940" w:type="dxa"/>
            <w:tcBorders>
              <w:top w:val="single" w:sz="4" w:space="0" w:color="auto"/>
              <w:left w:val="single" w:sz="4" w:space="0" w:color="auto"/>
              <w:bottom w:val="single" w:sz="4" w:space="0" w:color="auto"/>
              <w:right w:val="single" w:sz="4" w:space="0" w:color="auto"/>
            </w:tcBorders>
            <w:vAlign w:val="center"/>
          </w:tcPr>
          <w:p w14:paraId="38673454" w14:textId="77777777" w:rsidR="00EB5FAF" w:rsidRPr="007354A9" w:rsidRDefault="00EB5FAF" w:rsidP="00382389">
            <w:pPr>
              <w:pStyle w:val="table2"/>
              <w:rPr>
                <w:szCs w:val="18"/>
              </w:rPr>
            </w:pPr>
            <w:r>
              <w:rPr>
                <w:szCs w:val="18"/>
              </w:rPr>
              <w:t>2</w:t>
            </w:r>
            <w:r w:rsidRPr="007354A9">
              <w:rPr>
                <w:szCs w:val="18"/>
              </w:rPr>
              <w:t>0GB x Service(s)*</w:t>
            </w:r>
          </w:p>
        </w:tc>
        <w:tc>
          <w:tcPr>
            <w:tcW w:w="877"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vAlign w:val="center"/>
          </w:tcPr>
          <w:p w14:paraId="6A4F5F97"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tcPr>
          <w:p w14:paraId="02132556"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tcPr>
          <w:p w14:paraId="338C02EC"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tcPr>
          <w:p w14:paraId="1D58F7CC"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tcPr>
          <w:p w14:paraId="79271257" w14:textId="77777777" w:rsidR="00EB5FAF" w:rsidRPr="007354A9" w:rsidRDefault="00EB5FAF" w:rsidP="00382389">
            <w:pPr>
              <w:pStyle w:val="table2"/>
              <w:rPr>
                <w:szCs w:val="18"/>
              </w:rPr>
            </w:pPr>
            <w:r w:rsidRPr="007354A9">
              <w:rPr>
                <w:szCs w:val="18"/>
              </w:rPr>
              <w:t>0.8c/MB</w:t>
            </w:r>
          </w:p>
        </w:tc>
        <w:tc>
          <w:tcPr>
            <w:tcW w:w="877"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vAlign w:val="center"/>
          </w:tcPr>
          <w:p w14:paraId="6AF78D83" w14:textId="77777777" w:rsidR="00EB5FAF" w:rsidRPr="007354A9" w:rsidRDefault="00EB5FAF" w:rsidP="00382389">
            <w:pPr>
              <w:pStyle w:val="table2"/>
              <w:rPr>
                <w:szCs w:val="18"/>
              </w:rPr>
            </w:pPr>
            <w:r w:rsidRPr="007354A9">
              <w:rPr>
                <w:szCs w:val="18"/>
              </w:rPr>
              <w:t>0.8c/MB</w:t>
            </w:r>
          </w:p>
        </w:tc>
      </w:tr>
      <w:tr w:rsidR="00EB5FAF" w:rsidRPr="007354A9" w14:paraId="1F1852CB" w14:textId="77777777" w:rsidTr="00382389">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3DB08E88" w14:textId="77777777" w:rsidR="00EB5FAF" w:rsidRPr="007354A9" w:rsidRDefault="00EB5FAF" w:rsidP="00382389">
            <w:pPr>
              <w:pStyle w:val="table2"/>
              <w:rPr>
                <w:szCs w:val="18"/>
              </w:rPr>
            </w:pPr>
            <w:r w:rsidRPr="007354A9">
              <w:rPr>
                <w:szCs w:val="18"/>
              </w:rPr>
              <w:lastRenderedPageBreak/>
              <w:t>Local, National and Global Plans</w:t>
            </w:r>
          </w:p>
        </w:tc>
        <w:tc>
          <w:tcPr>
            <w:tcW w:w="7395" w:type="dxa"/>
            <w:gridSpan w:val="8"/>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958CF5F" w14:textId="77777777" w:rsidR="00EB5FAF" w:rsidRPr="007354A9" w:rsidRDefault="00EB5FAF" w:rsidP="00382389">
            <w:pPr>
              <w:pStyle w:val="table2"/>
              <w:rPr>
                <w:szCs w:val="18"/>
              </w:rPr>
            </w:pPr>
            <w:r w:rsidRPr="007354A9">
              <w:rPr>
                <w:szCs w:val="18"/>
              </w:rPr>
              <w:t>N/A – FairPlay Policy applies</w:t>
            </w:r>
          </w:p>
        </w:tc>
      </w:tr>
      <w:tr w:rsidR="00EB5FAF" w:rsidRPr="007354A9" w14:paraId="37B273E9" w14:textId="77777777" w:rsidTr="00382389">
        <w:trPr>
          <w:trHeight w:val="300"/>
        </w:trPr>
        <w:tc>
          <w:tcPr>
            <w:tcW w:w="166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032D0313" w14:textId="77777777" w:rsidR="00EB5FAF" w:rsidRPr="007354A9" w:rsidRDefault="00EB5FAF" w:rsidP="00382389">
            <w:pPr>
              <w:pStyle w:val="table2"/>
              <w:rPr>
                <w:szCs w:val="18"/>
              </w:rPr>
            </w:pPr>
            <w:r w:rsidRPr="007354A9">
              <w:rPr>
                <w:szCs w:val="18"/>
              </w:rPr>
              <w:t>X-Large and XX-Large BYO Data SIMs</w:t>
            </w:r>
          </w:p>
        </w:tc>
        <w:tc>
          <w:tcPr>
            <w:tcW w:w="7395" w:type="dxa"/>
            <w:gridSpan w:val="8"/>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0DBB4C2" w14:textId="6B859A3F" w:rsidR="00EB5FAF" w:rsidRPr="007354A9" w:rsidRDefault="00EB5FAF" w:rsidP="00382389">
            <w:pPr>
              <w:pStyle w:val="table2"/>
              <w:rPr>
                <w:szCs w:val="18"/>
              </w:rPr>
            </w:pPr>
            <w:r w:rsidRPr="007354A9">
              <w:rPr>
                <w:szCs w:val="18"/>
              </w:rPr>
              <w:t xml:space="preserve">These plans include a monthly data allowance (see clause </w:t>
            </w:r>
            <w:r w:rsidRPr="007354A9">
              <w:rPr>
                <w:szCs w:val="18"/>
              </w:rPr>
              <w:fldChar w:fldCharType="begin"/>
            </w:r>
            <w:r w:rsidRPr="007354A9">
              <w:rPr>
                <w:szCs w:val="18"/>
              </w:rPr>
              <w:instrText xml:space="preserve"> REF _Ref456603563 \r \h  \* MERGEFORMAT </w:instrText>
            </w:r>
            <w:r w:rsidRPr="007354A9">
              <w:rPr>
                <w:szCs w:val="18"/>
              </w:rPr>
            </w:r>
            <w:r w:rsidRPr="007354A9">
              <w:rPr>
                <w:szCs w:val="18"/>
              </w:rPr>
              <w:fldChar w:fldCharType="separate"/>
            </w:r>
            <w:r w:rsidR="006F603C">
              <w:rPr>
                <w:szCs w:val="18"/>
              </w:rPr>
              <w:t>2.42</w:t>
            </w:r>
            <w:r w:rsidRPr="007354A9">
              <w:rPr>
                <w:szCs w:val="18"/>
              </w:rPr>
              <w:fldChar w:fldCharType="end"/>
            </w:r>
            <w:r w:rsidRPr="007354A9">
              <w:rPr>
                <w:szCs w:val="18"/>
              </w:rPr>
              <w:t xml:space="preserve">) that is not shareable. </w:t>
            </w:r>
            <w:r w:rsidRPr="007354A9">
              <w:rPr>
                <w:szCs w:val="18"/>
              </w:rPr>
              <w:br/>
              <w:t>Excess data is charged at 0.8c/MB.</w:t>
            </w:r>
          </w:p>
        </w:tc>
      </w:tr>
    </w:tbl>
    <w:p w14:paraId="0C60B1C6" w14:textId="54157EBF" w:rsidR="00EB5FAF" w:rsidRPr="00EB5FAF" w:rsidRDefault="00EB5FAF" w:rsidP="00EB5FAF">
      <w:r w:rsidRPr="003D1386">
        <w:t>* ‘Service(s)’ means any mobile service(s) connected to a Corporate Mobile Plus Plan eligible to have a Committed Data Plan on the same account in a billing month.</w:t>
      </w:r>
    </w:p>
    <w:p w14:paraId="7ACA7E49" w14:textId="77777777" w:rsidR="00EB5FAF" w:rsidRPr="003D1386" w:rsidRDefault="00EB5FAF" w:rsidP="00EB5FAF">
      <w:pPr>
        <w:pStyle w:val="SubHead"/>
      </w:pPr>
      <w:bookmarkStart w:id="22" w:name="_Toc448916342"/>
      <w:r w:rsidRPr="003D1386">
        <w:t>Cancelling and changing monthly spend</w:t>
      </w:r>
      <w:bookmarkEnd w:id="22"/>
    </w:p>
    <w:p w14:paraId="455BAFC1" w14:textId="77777777" w:rsidR="00EB5FAF" w:rsidRPr="003D1386" w:rsidRDefault="00EB5FAF" w:rsidP="00EB5FAF">
      <w:pPr>
        <w:pStyle w:val="Heading2"/>
        <w:widowControl w:val="0"/>
        <w:numPr>
          <w:ilvl w:val="1"/>
          <w:numId w:val="6"/>
        </w:numPr>
        <w:spacing w:before="0" w:after="240"/>
      </w:pPr>
      <w:r w:rsidRPr="003D1386">
        <w:t>You can cancel your Corporate Mobile Plus Plan at any time. There is no early termination charge (ETC) at service level (ETCs may apply when you cancel your Corporate Mobile Plus customer agreement) but you must pay any costs incurred up to the point of cancellation, including any minimum spend and services commitments in your Corporate Mobile Plus customer agreement. If you change or cancel your Corporate Mobile Plus Plan during a billing cycle, you will receive a pro-rata refund of your monthly charge and your included call allowance will be pro-rated for that billing cycle.</w:t>
      </w:r>
    </w:p>
    <w:p w14:paraId="6972550E" w14:textId="77777777" w:rsidR="00EB5FAF" w:rsidRPr="003D1386" w:rsidRDefault="00EB5FAF" w:rsidP="00EB5FAF">
      <w:pPr>
        <w:pStyle w:val="Heading2"/>
        <w:widowControl w:val="0"/>
        <w:numPr>
          <w:ilvl w:val="1"/>
          <w:numId w:val="6"/>
        </w:numPr>
        <w:spacing w:before="0" w:after="240"/>
      </w:pPr>
      <w:bookmarkStart w:id="23" w:name="_Ref513015249"/>
      <w:r w:rsidRPr="003D1386">
        <w:t>You may move mobile services to another Corporate Mobile Plus Plan with a different minimum monthly access charge  no more than once every three months as long as you continue meeting any minimum spend and minimum number services commitments in your customer agreement.</w:t>
      </w:r>
      <w:bookmarkEnd w:id="23"/>
      <w:r w:rsidRPr="003D1386">
        <w:t xml:space="preserve"> </w:t>
      </w:r>
    </w:p>
    <w:p w14:paraId="6235E109" w14:textId="77777777" w:rsidR="00EB5FAF" w:rsidRPr="003D1386" w:rsidRDefault="00EB5FAF" w:rsidP="00EB5FAF">
      <w:pPr>
        <w:pStyle w:val="SubHead"/>
      </w:pPr>
      <w:r w:rsidRPr="003D1386">
        <w:t>Charges and inclusions</w:t>
      </w:r>
    </w:p>
    <w:p w14:paraId="48070623" w14:textId="77777777" w:rsidR="00EB5FAF" w:rsidRPr="003D1386" w:rsidRDefault="00EB5FAF" w:rsidP="00EB5FAF">
      <w:pPr>
        <w:pStyle w:val="Heading2"/>
        <w:widowControl w:val="0"/>
        <w:numPr>
          <w:ilvl w:val="1"/>
          <w:numId w:val="6"/>
        </w:numPr>
        <w:spacing w:before="0" w:after="240"/>
      </w:pPr>
      <w:bookmarkStart w:id="24" w:name="_Ref456603563"/>
      <w:r w:rsidRPr="003D1386">
        <w:t>Unless otherwise set out in your Corporate Mobile Plus customer agreement with us, the following charges and inclusions apply to your Corporate Mobile Plus Plans (refer to the above sections for further data inclusions and rates):</w:t>
      </w:r>
      <w:bookmarkEnd w:id="24"/>
    </w:p>
    <w:p w14:paraId="07129692" w14:textId="0D78416D" w:rsidR="00EB5FAF" w:rsidRDefault="00EB5FAF" w:rsidP="00EB5FAF">
      <w:r>
        <w:rPr>
          <w:noProof/>
        </w:rPr>
        <w:lastRenderedPageBreak/>
        <w:drawing>
          <wp:inline distT="0" distB="0" distL="0" distR="0" wp14:anchorId="7A076669" wp14:editId="2EF020C8">
            <wp:extent cx="6088643" cy="40481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099533" cy="4055366"/>
                    </a:xfrm>
                    <a:prstGeom prst="rect">
                      <a:avLst/>
                    </a:prstGeom>
                  </pic:spPr>
                </pic:pic>
              </a:graphicData>
            </a:graphic>
          </wp:inline>
        </w:drawing>
      </w:r>
    </w:p>
    <w:p w14:paraId="5972B402" w14:textId="1184B8F8" w:rsidR="00EB5FAF" w:rsidRDefault="00EB5FAF" w:rsidP="00EB5FAF">
      <w:r>
        <w:rPr>
          <w:noProof/>
        </w:rPr>
        <w:drawing>
          <wp:inline distT="0" distB="0" distL="0" distR="0" wp14:anchorId="2EA14D11" wp14:editId="4AB80AD7">
            <wp:extent cx="6082214" cy="401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090160" cy="4024801"/>
                    </a:xfrm>
                    <a:prstGeom prst="rect">
                      <a:avLst/>
                    </a:prstGeom>
                  </pic:spPr>
                </pic:pic>
              </a:graphicData>
            </a:graphic>
          </wp:inline>
        </w:drawing>
      </w:r>
    </w:p>
    <w:p w14:paraId="3E751060" w14:textId="77777777" w:rsidR="00EB5FAF" w:rsidRDefault="00EB5FAF" w:rsidP="00EB5FAF">
      <w:pPr>
        <w:rPr>
          <w:noProof/>
        </w:rPr>
      </w:pPr>
    </w:p>
    <w:p w14:paraId="2BB8B3EC" w14:textId="2C0212B6" w:rsidR="00EB5FAF" w:rsidRDefault="00EB5FAF" w:rsidP="00EB5FAF">
      <w:r>
        <w:rPr>
          <w:noProof/>
        </w:rPr>
        <w:lastRenderedPageBreak/>
        <w:drawing>
          <wp:inline distT="0" distB="0" distL="0" distR="0" wp14:anchorId="0556B208" wp14:editId="2B7B030A">
            <wp:extent cx="6082030" cy="407517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095039" cy="4083892"/>
                    </a:xfrm>
                    <a:prstGeom prst="rect">
                      <a:avLst/>
                    </a:prstGeom>
                  </pic:spPr>
                </pic:pic>
              </a:graphicData>
            </a:graphic>
          </wp:inline>
        </w:drawing>
      </w:r>
    </w:p>
    <w:p w14:paraId="66948FCE" w14:textId="57EF06F0" w:rsidR="00EB5FAF" w:rsidRDefault="00EB5FAF" w:rsidP="00EB5FAF"/>
    <w:tbl>
      <w:tblPr>
        <w:tblpPr w:leftFromText="180" w:rightFromText="180" w:vertAnchor="text" w:horzAnchor="margin" w:tblpY="270"/>
        <w:tblW w:w="9504" w:type="dxa"/>
        <w:tblLook w:val="04A0" w:firstRow="1" w:lastRow="0" w:firstColumn="1" w:lastColumn="0" w:noHBand="0" w:noVBand="1"/>
      </w:tblPr>
      <w:tblGrid>
        <w:gridCol w:w="1078"/>
        <w:gridCol w:w="941"/>
        <w:gridCol w:w="908"/>
        <w:gridCol w:w="1129"/>
        <w:gridCol w:w="1374"/>
        <w:gridCol w:w="1626"/>
        <w:gridCol w:w="1233"/>
        <w:gridCol w:w="1215"/>
      </w:tblGrid>
      <w:tr w:rsidR="00345CB4" w:rsidRPr="007A61D1" w14:paraId="6488BBEB" w14:textId="77777777" w:rsidTr="00345CB4">
        <w:trPr>
          <w:trHeight w:val="542"/>
        </w:trPr>
        <w:tc>
          <w:tcPr>
            <w:tcW w:w="1078" w:type="dxa"/>
            <w:tcBorders>
              <w:top w:val="single" w:sz="4" w:space="0" w:color="auto"/>
              <w:left w:val="single" w:sz="4" w:space="0" w:color="auto"/>
              <w:bottom w:val="single" w:sz="4" w:space="0" w:color="auto"/>
              <w:right w:val="single" w:sz="4" w:space="0" w:color="auto"/>
            </w:tcBorders>
            <w:shd w:val="clear" w:color="000000" w:fill="D9D9D9"/>
            <w:hideMark/>
          </w:tcPr>
          <w:p w14:paraId="3C1C9FB1" w14:textId="77777777" w:rsidR="00691685" w:rsidRPr="007A61D1" w:rsidRDefault="00691685" w:rsidP="00691685">
            <w:pPr>
              <w:rPr>
                <w:rFonts w:ascii="Calibri" w:hAnsi="Calibri" w:cs="Calibri"/>
                <w:b/>
                <w:bCs/>
                <w:color w:val="000000"/>
                <w:sz w:val="20"/>
                <w:lang w:eastAsia="en-AU"/>
              </w:rPr>
            </w:pPr>
            <w:r w:rsidRPr="007A61D1">
              <w:rPr>
                <w:rFonts w:ascii="Calibri" w:hAnsi="Calibri" w:cs="Calibri"/>
                <w:b/>
                <w:bCs/>
                <w:color w:val="000000"/>
                <w:sz w:val="20"/>
                <w:lang w:eastAsia="en-AU"/>
              </w:rPr>
              <w:t>Corporate Mobile Plus Plans</w:t>
            </w:r>
          </w:p>
        </w:tc>
        <w:tc>
          <w:tcPr>
            <w:tcW w:w="941" w:type="dxa"/>
            <w:tcBorders>
              <w:top w:val="single" w:sz="4" w:space="0" w:color="auto"/>
              <w:left w:val="nil"/>
              <w:bottom w:val="single" w:sz="4" w:space="0" w:color="auto"/>
              <w:right w:val="single" w:sz="4" w:space="0" w:color="auto"/>
            </w:tcBorders>
            <w:shd w:val="clear" w:color="000000" w:fill="D9D9D9"/>
            <w:noWrap/>
            <w:hideMark/>
          </w:tcPr>
          <w:p w14:paraId="31271DAC" w14:textId="77777777" w:rsidR="00691685" w:rsidRPr="007A61D1" w:rsidRDefault="00691685" w:rsidP="00691685">
            <w:pPr>
              <w:rPr>
                <w:rFonts w:ascii="Calibri" w:hAnsi="Calibri" w:cs="Calibri"/>
                <w:b/>
                <w:bCs/>
                <w:color w:val="000000"/>
                <w:sz w:val="20"/>
                <w:lang w:eastAsia="en-AU"/>
              </w:rPr>
            </w:pPr>
            <w:r w:rsidRPr="007A61D1">
              <w:rPr>
                <w:rFonts w:ascii="Calibri" w:hAnsi="Calibri" w:cs="Calibri"/>
                <w:b/>
                <w:bCs/>
                <w:color w:val="000000"/>
                <w:sz w:val="20"/>
                <w:lang w:eastAsia="en-AU"/>
              </w:rPr>
              <w:t>Basic $20</w:t>
            </w:r>
          </w:p>
        </w:tc>
        <w:tc>
          <w:tcPr>
            <w:tcW w:w="908" w:type="dxa"/>
            <w:tcBorders>
              <w:top w:val="single" w:sz="4" w:space="0" w:color="auto"/>
              <w:left w:val="nil"/>
              <w:bottom w:val="single" w:sz="4" w:space="0" w:color="auto"/>
              <w:right w:val="single" w:sz="4" w:space="0" w:color="auto"/>
            </w:tcBorders>
            <w:shd w:val="clear" w:color="000000" w:fill="D9D9D9"/>
            <w:noWrap/>
            <w:hideMark/>
          </w:tcPr>
          <w:p w14:paraId="44AA1731" w14:textId="77777777" w:rsidR="00691685" w:rsidRPr="007A61D1" w:rsidRDefault="00691685" w:rsidP="00691685">
            <w:pPr>
              <w:rPr>
                <w:rFonts w:ascii="Calibri" w:hAnsi="Calibri" w:cs="Calibri"/>
                <w:b/>
                <w:bCs/>
                <w:color w:val="000000"/>
                <w:sz w:val="20"/>
                <w:lang w:eastAsia="en-AU"/>
              </w:rPr>
            </w:pPr>
            <w:r w:rsidRPr="007A61D1">
              <w:rPr>
                <w:rFonts w:ascii="Calibri" w:hAnsi="Calibri" w:cs="Calibri"/>
                <w:b/>
                <w:bCs/>
                <w:color w:val="000000"/>
                <w:sz w:val="20"/>
                <w:lang w:eastAsia="en-AU"/>
              </w:rPr>
              <w:t>Entry $40</w:t>
            </w:r>
          </w:p>
        </w:tc>
        <w:tc>
          <w:tcPr>
            <w:tcW w:w="1129" w:type="dxa"/>
            <w:tcBorders>
              <w:top w:val="single" w:sz="4" w:space="0" w:color="auto"/>
              <w:left w:val="nil"/>
              <w:bottom w:val="single" w:sz="4" w:space="0" w:color="auto"/>
              <w:right w:val="single" w:sz="4" w:space="0" w:color="auto"/>
            </w:tcBorders>
            <w:shd w:val="clear" w:color="000000" w:fill="D9D9D9"/>
            <w:noWrap/>
            <w:hideMark/>
          </w:tcPr>
          <w:p w14:paraId="4C48861F" w14:textId="77777777" w:rsidR="00691685" w:rsidRPr="007A61D1" w:rsidRDefault="00691685" w:rsidP="00691685">
            <w:pPr>
              <w:rPr>
                <w:rFonts w:ascii="Calibri" w:hAnsi="Calibri" w:cs="Calibri"/>
                <w:b/>
                <w:bCs/>
                <w:color w:val="000000"/>
                <w:sz w:val="20"/>
                <w:lang w:eastAsia="en-AU"/>
              </w:rPr>
            </w:pPr>
            <w:r w:rsidRPr="007A61D1">
              <w:rPr>
                <w:rFonts w:ascii="Calibri" w:hAnsi="Calibri" w:cs="Calibri"/>
                <w:b/>
                <w:bCs/>
                <w:color w:val="000000"/>
                <w:sz w:val="20"/>
                <w:lang w:eastAsia="en-AU"/>
              </w:rPr>
              <w:t>Standard $60</w:t>
            </w:r>
          </w:p>
        </w:tc>
        <w:tc>
          <w:tcPr>
            <w:tcW w:w="1372" w:type="dxa"/>
            <w:tcBorders>
              <w:top w:val="single" w:sz="4" w:space="0" w:color="auto"/>
              <w:left w:val="nil"/>
              <w:bottom w:val="single" w:sz="4" w:space="0" w:color="auto"/>
              <w:right w:val="single" w:sz="4" w:space="0" w:color="auto"/>
            </w:tcBorders>
            <w:shd w:val="clear" w:color="000000" w:fill="D9D9D9"/>
            <w:noWrap/>
            <w:hideMark/>
          </w:tcPr>
          <w:p w14:paraId="154E2C81" w14:textId="77777777" w:rsidR="00691685" w:rsidRPr="007A61D1" w:rsidRDefault="00691685" w:rsidP="00691685">
            <w:pPr>
              <w:rPr>
                <w:rFonts w:ascii="Calibri" w:hAnsi="Calibri" w:cs="Calibri"/>
                <w:b/>
                <w:bCs/>
                <w:color w:val="000000"/>
                <w:sz w:val="20"/>
                <w:lang w:eastAsia="en-AU"/>
              </w:rPr>
            </w:pPr>
            <w:r w:rsidRPr="007A61D1">
              <w:rPr>
                <w:rFonts w:ascii="Calibri" w:hAnsi="Calibri" w:cs="Calibri"/>
                <w:b/>
                <w:bCs/>
                <w:color w:val="000000"/>
                <w:sz w:val="20"/>
                <w:lang w:eastAsia="en-AU"/>
              </w:rPr>
              <w:t>Professional $80</w:t>
            </w:r>
          </w:p>
        </w:tc>
        <w:tc>
          <w:tcPr>
            <w:tcW w:w="1626" w:type="dxa"/>
            <w:tcBorders>
              <w:top w:val="single" w:sz="4" w:space="0" w:color="auto"/>
              <w:left w:val="nil"/>
              <w:bottom w:val="single" w:sz="4" w:space="0" w:color="auto"/>
              <w:right w:val="single" w:sz="4" w:space="0" w:color="auto"/>
            </w:tcBorders>
            <w:shd w:val="clear" w:color="000000" w:fill="D9D9D9"/>
            <w:noWrap/>
            <w:hideMark/>
          </w:tcPr>
          <w:p w14:paraId="730E1126" w14:textId="77777777" w:rsidR="00691685" w:rsidRPr="007A61D1" w:rsidRDefault="00691685" w:rsidP="00691685">
            <w:pPr>
              <w:rPr>
                <w:rFonts w:ascii="Calibri" w:hAnsi="Calibri" w:cs="Calibri"/>
                <w:b/>
                <w:bCs/>
                <w:color w:val="000000"/>
                <w:sz w:val="20"/>
                <w:lang w:eastAsia="en-AU"/>
              </w:rPr>
            </w:pPr>
            <w:r w:rsidRPr="007A61D1">
              <w:rPr>
                <w:rFonts w:ascii="Calibri" w:hAnsi="Calibri" w:cs="Calibri"/>
                <w:b/>
                <w:bCs/>
                <w:color w:val="000000"/>
                <w:sz w:val="20"/>
                <w:lang w:eastAsia="en-AU"/>
              </w:rPr>
              <w:t>Executive $120</w:t>
            </w:r>
          </w:p>
        </w:tc>
        <w:tc>
          <w:tcPr>
            <w:tcW w:w="1233" w:type="dxa"/>
            <w:tcBorders>
              <w:top w:val="single" w:sz="4" w:space="0" w:color="auto"/>
              <w:left w:val="nil"/>
              <w:bottom w:val="single" w:sz="4" w:space="0" w:color="auto"/>
              <w:right w:val="single" w:sz="4" w:space="0" w:color="auto"/>
            </w:tcBorders>
            <w:shd w:val="clear" w:color="000000" w:fill="D9D9D9"/>
            <w:noWrap/>
            <w:hideMark/>
          </w:tcPr>
          <w:p w14:paraId="7DB4D929" w14:textId="77777777" w:rsidR="00691685" w:rsidRPr="007A61D1" w:rsidRDefault="00691685" w:rsidP="00691685">
            <w:pPr>
              <w:rPr>
                <w:rFonts w:ascii="Calibri" w:hAnsi="Calibri" w:cs="Calibri"/>
                <w:b/>
                <w:bCs/>
                <w:color w:val="000000"/>
                <w:sz w:val="20"/>
                <w:lang w:eastAsia="en-AU"/>
              </w:rPr>
            </w:pPr>
            <w:r w:rsidRPr="007A61D1">
              <w:rPr>
                <w:rFonts w:ascii="Calibri" w:hAnsi="Calibri" w:cs="Calibri"/>
                <w:b/>
                <w:bCs/>
                <w:color w:val="000000"/>
                <w:sz w:val="20"/>
                <w:lang w:eastAsia="en-AU"/>
              </w:rPr>
              <w:t>$5 Data SIM</w:t>
            </w:r>
          </w:p>
        </w:tc>
        <w:tc>
          <w:tcPr>
            <w:tcW w:w="1215" w:type="dxa"/>
            <w:tcBorders>
              <w:top w:val="single" w:sz="4" w:space="0" w:color="auto"/>
              <w:left w:val="nil"/>
              <w:bottom w:val="single" w:sz="4" w:space="0" w:color="auto"/>
              <w:right w:val="single" w:sz="4" w:space="0" w:color="auto"/>
            </w:tcBorders>
            <w:shd w:val="clear" w:color="000000" w:fill="D9D9D9"/>
            <w:noWrap/>
            <w:hideMark/>
          </w:tcPr>
          <w:p w14:paraId="1DFBEB90" w14:textId="77777777" w:rsidR="00691685" w:rsidRPr="007A61D1" w:rsidRDefault="00691685" w:rsidP="00691685">
            <w:pPr>
              <w:rPr>
                <w:rFonts w:ascii="Calibri" w:hAnsi="Calibri" w:cs="Calibri"/>
                <w:b/>
                <w:bCs/>
                <w:color w:val="000000"/>
                <w:sz w:val="20"/>
                <w:lang w:eastAsia="en-AU"/>
              </w:rPr>
            </w:pPr>
            <w:r w:rsidRPr="007A61D1">
              <w:rPr>
                <w:rFonts w:ascii="Calibri" w:hAnsi="Calibri" w:cs="Calibri"/>
                <w:b/>
                <w:bCs/>
                <w:color w:val="000000"/>
                <w:sz w:val="20"/>
                <w:lang w:eastAsia="en-AU"/>
              </w:rPr>
              <w:t>$40 Data SIM</w:t>
            </w:r>
          </w:p>
        </w:tc>
      </w:tr>
      <w:tr w:rsidR="00691685" w:rsidRPr="007A61D1" w14:paraId="3BC96DBB" w14:textId="77777777" w:rsidTr="00BE639B">
        <w:trPr>
          <w:trHeight w:val="947"/>
        </w:trPr>
        <w:tc>
          <w:tcPr>
            <w:tcW w:w="1078" w:type="dxa"/>
            <w:vMerge w:val="restart"/>
            <w:tcBorders>
              <w:top w:val="nil"/>
              <w:left w:val="single" w:sz="4" w:space="0" w:color="auto"/>
              <w:bottom w:val="single" w:sz="4" w:space="0" w:color="auto"/>
              <w:right w:val="single" w:sz="4" w:space="0" w:color="auto"/>
            </w:tcBorders>
            <w:shd w:val="clear" w:color="auto" w:fill="auto"/>
            <w:hideMark/>
          </w:tcPr>
          <w:p w14:paraId="6C9E0095" w14:textId="77777777" w:rsidR="00691685" w:rsidRPr="007A61D1" w:rsidRDefault="00691685" w:rsidP="00691685">
            <w:pPr>
              <w:rPr>
                <w:rFonts w:ascii="Calibri" w:hAnsi="Calibri" w:cs="Calibri"/>
                <w:color w:val="000000"/>
                <w:sz w:val="20"/>
                <w:lang w:eastAsia="en-AU"/>
              </w:rPr>
            </w:pPr>
            <w:r w:rsidRPr="007A61D1">
              <w:rPr>
                <w:rFonts w:ascii="Calibri" w:hAnsi="Calibri" w:cs="Calibri"/>
                <w:color w:val="000000"/>
                <w:sz w:val="20"/>
                <w:lang w:eastAsia="en-AU"/>
              </w:rPr>
              <w:t>Roaming Allowance in Eligible Countries (data)</w:t>
            </w:r>
          </w:p>
        </w:tc>
        <w:tc>
          <w:tcPr>
            <w:tcW w:w="435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48948A5" w14:textId="77777777" w:rsidR="00691685" w:rsidRPr="007A61D1" w:rsidRDefault="00000000" w:rsidP="00691685">
            <w:pPr>
              <w:jc w:val="center"/>
              <w:rPr>
                <w:rFonts w:ascii="Calibri" w:hAnsi="Calibri" w:cs="Calibri"/>
                <w:color w:val="0563C1"/>
                <w:sz w:val="18"/>
                <w:szCs w:val="18"/>
                <w:u w:val="single"/>
                <w:lang w:eastAsia="en-AU"/>
              </w:rPr>
            </w:pPr>
            <w:hyperlink r:id="rId32" w:history="1">
              <w:r w:rsidR="00691685" w:rsidRPr="007A61D1">
                <w:rPr>
                  <w:rFonts w:ascii="Calibri" w:hAnsi="Calibri" w:cs="Calibri"/>
                  <w:color w:val="0563C1"/>
                  <w:sz w:val="18"/>
                  <w:szCs w:val="18"/>
                  <w:u w:val="single"/>
                  <w:lang w:eastAsia="en-AU"/>
                </w:rPr>
                <w:t>The Telstra Mobile section of Our Customer Terms</w:t>
              </w:r>
            </w:hyperlink>
          </w:p>
        </w:tc>
        <w:tc>
          <w:tcPr>
            <w:tcW w:w="1626" w:type="dxa"/>
            <w:tcBorders>
              <w:top w:val="nil"/>
              <w:left w:val="nil"/>
              <w:bottom w:val="nil"/>
              <w:right w:val="single" w:sz="4" w:space="0" w:color="auto"/>
            </w:tcBorders>
            <w:shd w:val="clear" w:color="auto" w:fill="auto"/>
            <w:vAlign w:val="center"/>
            <w:hideMark/>
          </w:tcPr>
          <w:p w14:paraId="21B4A6CD" w14:textId="69436556" w:rsidR="00691685" w:rsidRPr="007A61D1" w:rsidRDefault="00431B6C" w:rsidP="00691685">
            <w:pPr>
              <w:rPr>
                <w:rFonts w:ascii="Calibri" w:hAnsi="Calibri" w:cs="Calibri"/>
                <w:color w:val="000000"/>
                <w:sz w:val="20"/>
                <w:lang w:eastAsia="en-AU"/>
              </w:rPr>
            </w:pPr>
            <w:r>
              <w:rPr>
                <w:rFonts w:ascii="Calibri" w:hAnsi="Calibri" w:cs="Calibri"/>
                <w:color w:val="000000"/>
                <w:sz w:val="20"/>
                <w:lang w:eastAsia="en-AU"/>
              </w:rPr>
              <w:t>500MB</w:t>
            </w:r>
            <w:r w:rsidR="00691685" w:rsidRPr="007A61D1">
              <w:rPr>
                <w:rFonts w:ascii="Calibri" w:hAnsi="Calibri" w:cs="Calibri"/>
                <w:color w:val="000000"/>
                <w:sz w:val="20"/>
                <w:lang w:eastAsia="en-AU"/>
              </w:rPr>
              <w:t xml:space="preserve">, valid for 31 days. A list of Eligible Countries is set out in </w:t>
            </w:r>
          </w:p>
        </w:tc>
        <w:tc>
          <w:tcPr>
            <w:tcW w:w="1233" w:type="dxa"/>
            <w:vMerge w:val="restart"/>
            <w:tcBorders>
              <w:top w:val="nil"/>
              <w:left w:val="nil"/>
              <w:bottom w:val="single" w:sz="4" w:space="0" w:color="auto"/>
              <w:right w:val="single" w:sz="4" w:space="0" w:color="auto"/>
            </w:tcBorders>
            <w:shd w:val="clear" w:color="auto" w:fill="auto"/>
            <w:noWrap/>
            <w:hideMark/>
          </w:tcPr>
          <w:p w14:paraId="2A6FDD8A" w14:textId="77777777" w:rsidR="00691685" w:rsidRPr="007A61D1" w:rsidRDefault="00691685" w:rsidP="00691685">
            <w:pPr>
              <w:jc w:val="center"/>
              <w:rPr>
                <w:rFonts w:ascii="Calibri" w:hAnsi="Calibri" w:cs="Calibri"/>
                <w:color w:val="000000"/>
                <w:sz w:val="20"/>
                <w:lang w:eastAsia="en-AU"/>
              </w:rPr>
            </w:pPr>
            <w:r w:rsidRPr="007A61D1">
              <w:rPr>
                <w:rFonts w:ascii="Calibri" w:hAnsi="Calibri" w:cs="Calibri"/>
                <w:color w:val="000000"/>
                <w:sz w:val="20"/>
                <w:lang w:eastAsia="en-AU"/>
              </w:rPr>
              <w:t> </w:t>
            </w:r>
          </w:p>
        </w:tc>
        <w:tc>
          <w:tcPr>
            <w:tcW w:w="1215" w:type="dxa"/>
            <w:vMerge w:val="restart"/>
            <w:tcBorders>
              <w:top w:val="nil"/>
              <w:left w:val="single" w:sz="4" w:space="0" w:color="auto"/>
              <w:bottom w:val="single" w:sz="4" w:space="0" w:color="auto"/>
              <w:right w:val="single" w:sz="4" w:space="0" w:color="auto"/>
            </w:tcBorders>
            <w:shd w:val="clear" w:color="auto" w:fill="auto"/>
            <w:noWrap/>
            <w:hideMark/>
          </w:tcPr>
          <w:p w14:paraId="2092D386" w14:textId="77777777" w:rsidR="00691685" w:rsidRPr="007A61D1" w:rsidRDefault="00691685" w:rsidP="00691685">
            <w:pPr>
              <w:jc w:val="center"/>
              <w:rPr>
                <w:rFonts w:ascii="Calibri" w:hAnsi="Calibri" w:cs="Calibri"/>
                <w:color w:val="000000"/>
                <w:sz w:val="20"/>
                <w:lang w:eastAsia="en-AU"/>
              </w:rPr>
            </w:pPr>
            <w:r w:rsidRPr="007A61D1">
              <w:rPr>
                <w:rFonts w:ascii="Calibri" w:hAnsi="Calibri" w:cs="Calibri"/>
                <w:color w:val="000000"/>
                <w:sz w:val="20"/>
                <w:lang w:eastAsia="en-AU"/>
              </w:rPr>
              <w:t> </w:t>
            </w:r>
          </w:p>
        </w:tc>
      </w:tr>
      <w:tr w:rsidR="00691685" w:rsidRPr="007A61D1" w14:paraId="2A0D2038" w14:textId="77777777" w:rsidTr="00BE639B">
        <w:trPr>
          <w:trHeight w:val="851"/>
        </w:trPr>
        <w:tc>
          <w:tcPr>
            <w:tcW w:w="1078" w:type="dxa"/>
            <w:vMerge/>
            <w:tcBorders>
              <w:top w:val="nil"/>
              <w:left w:val="single" w:sz="4" w:space="0" w:color="auto"/>
              <w:bottom w:val="single" w:sz="4" w:space="0" w:color="auto"/>
              <w:right w:val="single" w:sz="4" w:space="0" w:color="auto"/>
            </w:tcBorders>
            <w:vAlign w:val="center"/>
            <w:hideMark/>
          </w:tcPr>
          <w:p w14:paraId="398385A9" w14:textId="77777777" w:rsidR="00691685" w:rsidRPr="007A61D1" w:rsidRDefault="00691685" w:rsidP="00691685">
            <w:pPr>
              <w:rPr>
                <w:rFonts w:ascii="Calibri" w:hAnsi="Calibri" w:cs="Calibri"/>
                <w:color w:val="000000"/>
                <w:sz w:val="20"/>
                <w:lang w:eastAsia="en-AU"/>
              </w:rPr>
            </w:pPr>
          </w:p>
        </w:tc>
        <w:tc>
          <w:tcPr>
            <w:tcW w:w="4352" w:type="dxa"/>
            <w:gridSpan w:val="4"/>
            <w:vMerge/>
            <w:tcBorders>
              <w:top w:val="single" w:sz="4" w:space="0" w:color="auto"/>
              <w:left w:val="single" w:sz="4" w:space="0" w:color="auto"/>
              <w:bottom w:val="single" w:sz="4" w:space="0" w:color="auto"/>
              <w:right w:val="single" w:sz="4" w:space="0" w:color="auto"/>
            </w:tcBorders>
            <w:vAlign w:val="center"/>
            <w:hideMark/>
          </w:tcPr>
          <w:p w14:paraId="05AB7F5D" w14:textId="77777777" w:rsidR="00691685" w:rsidRPr="007A61D1" w:rsidRDefault="00691685" w:rsidP="00691685">
            <w:pPr>
              <w:rPr>
                <w:rFonts w:ascii="Calibri" w:hAnsi="Calibri" w:cs="Calibri"/>
                <w:color w:val="0563C1"/>
                <w:sz w:val="18"/>
                <w:szCs w:val="18"/>
                <w:u w:val="single"/>
                <w:lang w:eastAsia="en-AU"/>
              </w:rPr>
            </w:pPr>
          </w:p>
        </w:tc>
        <w:tc>
          <w:tcPr>
            <w:tcW w:w="1626" w:type="dxa"/>
            <w:tcBorders>
              <w:top w:val="nil"/>
              <w:left w:val="nil"/>
              <w:bottom w:val="single" w:sz="4" w:space="0" w:color="auto"/>
              <w:right w:val="single" w:sz="4" w:space="0" w:color="auto"/>
            </w:tcBorders>
            <w:shd w:val="clear" w:color="auto" w:fill="auto"/>
            <w:vAlign w:val="bottom"/>
            <w:hideMark/>
          </w:tcPr>
          <w:p w14:paraId="1F41B388" w14:textId="77777777" w:rsidR="00691685" w:rsidRPr="007A61D1" w:rsidRDefault="00000000" w:rsidP="00691685">
            <w:pPr>
              <w:rPr>
                <w:rFonts w:ascii="Calibri" w:hAnsi="Calibri" w:cs="Calibri"/>
                <w:color w:val="0563C1"/>
                <w:sz w:val="18"/>
                <w:szCs w:val="18"/>
                <w:u w:val="single"/>
                <w:lang w:eastAsia="en-AU"/>
              </w:rPr>
            </w:pPr>
            <w:hyperlink r:id="rId33" w:history="1">
              <w:r w:rsidR="00691685" w:rsidRPr="007A61D1">
                <w:rPr>
                  <w:rFonts w:ascii="Calibri" w:hAnsi="Calibri" w:cs="Calibri"/>
                  <w:color w:val="0563C1"/>
                  <w:sz w:val="18"/>
                  <w:szCs w:val="18"/>
                  <w:u w:val="single"/>
                  <w:lang w:eastAsia="en-AU"/>
                </w:rPr>
                <w:t>Telstra Our Customer Terms Part I - Heading Overseas (International Roaming)</w:t>
              </w:r>
            </w:hyperlink>
          </w:p>
        </w:tc>
        <w:tc>
          <w:tcPr>
            <w:tcW w:w="1233" w:type="dxa"/>
            <w:vMerge/>
            <w:tcBorders>
              <w:top w:val="nil"/>
              <w:left w:val="nil"/>
              <w:bottom w:val="single" w:sz="4" w:space="0" w:color="auto"/>
              <w:right w:val="single" w:sz="4" w:space="0" w:color="auto"/>
            </w:tcBorders>
            <w:vAlign w:val="center"/>
            <w:hideMark/>
          </w:tcPr>
          <w:p w14:paraId="36912A58" w14:textId="77777777" w:rsidR="00691685" w:rsidRPr="007A61D1" w:rsidRDefault="00691685" w:rsidP="00691685">
            <w:pPr>
              <w:rPr>
                <w:rFonts w:ascii="Calibri" w:hAnsi="Calibri" w:cs="Calibri"/>
                <w:color w:val="000000"/>
                <w:sz w:val="20"/>
                <w:lang w:eastAsia="en-AU"/>
              </w:rPr>
            </w:pPr>
          </w:p>
        </w:tc>
        <w:tc>
          <w:tcPr>
            <w:tcW w:w="1215" w:type="dxa"/>
            <w:vMerge/>
            <w:tcBorders>
              <w:top w:val="nil"/>
              <w:left w:val="single" w:sz="4" w:space="0" w:color="auto"/>
              <w:bottom w:val="single" w:sz="4" w:space="0" w:color="auto"/>
              <w:right w:val="single" w:sz="4" w:space="0" w:color="auto"/>
            </w:tcBorders>
            <w:vAlign w:val="center"/>
            <w:hideMark/>
          </w:tcPr>
          <w:p w14:paraId="7A1245CF" w14:textId="77777777" w:rsidR="00691685" w:rsidRPr="007A61D1" w:rsidRDefault="00691685" w:rsidP="00691685">
            <w:pPr>
              <w:rPr>
                <w:rFonts w:ascii="Calibri" w:hAnsi="Calibri" w:cs="Calibri"/>
                <w:color w:val="000000"/>
                <w:sz w:val="20"/>
                <w:lang w:eastAsia="en-AU"/>
              </w:rPr>
            </w:pPr>
          </w:p>
        </w:tc>
      </w:tr>
    </w:tbl>
    <w:p w14:paraId="07EA027A" w14:textId="0B8EA206" w:rsidR="00EB5FAF" w:rsidRDefault="00EB5FAF" w:rsidP="00EB5FAF"/>
    <w:p w14:paraId="52D05AC4" w14:textId="77777777" w:rsidR="00A01AE3" w:rsidRDefault="00A01AE3" w:rsidP="00EB5FAF"/>
    <w:p w14:paraId="31778DA1" w14:textId="77777777" w:rsidR="003C70E5" w:rsidRDefault="003C70E5" w:rsidP="00EB5FAF"/>
    <w:p w14:paraId="7F90477E" w14:textId="77777777" w:rsidR="003C70E5" w:rsidRDefault="003C70E5" w:rsidP="00EB5FAF"/>
    <w:p w14:paraId="09E25D88" w14:textId="55FA54B3" w:rsidR="00A01AE3" w:rsidRDefault="008475C9" w:rsidP="00EB5FAF">
      <w:r>
        <w:rPr>
          <w:noProof/>
        </w:rPr>
        <w:lastRenderedPageBreak/>
        <w:drawing>
          <wp:inline distT="0" distB="0" distL="0" distR="0" wp14:anchorId="2509BFF9" wp14:editId="0A30D5E5">
            <wp:extent cx="6047484" cy="2324100"/>
            <wp:effectExtent l="0" t="0" r="0" b="0"/>
            <wp:docPr id="136820078" name="Picture 13682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t="40135"/>
                    <a:stretch/>
                  </pic:blipFill>
                  <pic:spPr bwMode="auto">
                    <a:xfrm>
                      <a:off x="0" y="0"/>
                      <a:ext cx="6058263" cy="2328242"/>
                    </a:xfrm>
                    <a:prstGeom prst="rect">
                      <a:avLst/>
                    </a:prstGeom>
                    <a:ln>
                      <a:noFill/>
                    </a:ln>
                    <a:extLst>
                      <a:ext uri="{53640926-AAD7-44D8-BBD7-CCE9431645EC}">
                        <a14:shadowObscured xmlns:a14="http://schemas.microsoft.com/office/drawing/2010/main"/>
                      </a:ext>
                    </a:extLst>
                  </pic:spPr>
                </pic:pic>
              </a:graphicData>
            </a:graphic>
          </wp:inline>
        </w:drawing>
      </w:r>
    </w:p>
    <w:p w14:paraId="0070EC7D" w14:textId="77777777" w:rsidR="00C45A8E" w:rsidRDefault="00C45A8E" w:rsidP="00EB5FAF"/>
    <w:p w14:paraId="15664F55" w14:textId="736B84ED" w:rsidR="00EB5FAF" w:rsidRDefault="00EB5FAF" w:rsidP="00EB5FAF">
      <w:r>
        <w:rPr>
          <w:noProof/>
        </w:rPr>
        <w:drawing>
          <wp:inline distT="0" distB="0" distL="0" distR="0" wp14:anchorId="1F3F2A63" wp14:editId="55F00137">
            <wp:extent cx="6029325" cy="37989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059312" cy="3817865"/>
                    </a:xfrm>
                    <a:prstGeom prst="rect">
                      <a:avLst/>
                    </a:prstGeom>
                  </pic:spPr>
                </pic:pic>
              </a:graphicData>
            </a:graphic>
          </wp:inline>
        </w:drawing>
      </w:r>
    </w:p>
    <w:p w14:paraId="7ED77227" w14:textId="19D23E66" w:rsidR="00EB5FAF" w:rsidRDefault="00EB5FAF" w:rsidP="00EB5FAF"/>
    <w:p w14:paraId="31B09989" w14:textId="5EFEE560" w:rsidR="00EB5FAF" w:rsidRDefault="00EB5FAF" w:rsidP="00EB5FAF"/>
    <w:p w14:paraId="73B26E16" w14:textId="1F363682" w:rsidR="00EB5FAF" w:rsidRDefault="00EB5FAF" w:rsidP="00EB5FAF"/>
    <w:p w14:paraId="7DD5DE15" w14:textId="10B5C910" w:rsidR="00EB5FAF" w:rsidRDefault="00EB5FAF" w:rsidP="00EB5FAF"/>
    <w:p w14:paraId="28EF20FD" w14:textId="73A5B178" w:rsidR="00EB5FAF" w:rsidRDefault="00EB5FAF" w:rsidP="00EB5FAF">
      <w:r>
        <w:rPr>
          <w:noProof/>
        </w:rPr>
        <w:lastRenderedPageBreak/>
        <w:drawing>
          <wp:inline distT="0" distB="0" distL="0" distR="0" wp14:anchorId="3EF59039" wp14:editId="0B8475BE">
            <wp:extent cx="6135726" cy="388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45879" cy="3892630"/>
                    </a:xfrm>
                    <a:prstGeom prst="rect">
                      <a:avLst/>
                    </a:prstGeom>
                  </pic:spPr>
                </pic:pic>
              </a:graphicData>
            </a:graphic>
          </wp:inline>
        </w:drawing>
      </w:r>
    </w:p>
    <w:p w14:paraId="36963252" w14:textId="069FBEC1" w:rsidR="00EB5FAF" w:rsidRDefault="00EB5FAF" w:rsidP="00EB5FAF"/>
    <w:p w14:paraId="51190E4C" w14:textId="2EEA40A8" w:rsidR="00EB5FAF" w:rsidRPr="00EB5FAF" w:rsidRDefault="00EB5FAF" w:rsidP="00EB5FAF">
      <w:pPr>
        <w:rPr>
          <w:rFonts w:ascii="Verdana" w:hAnsi="Verdana"/>
          <w:sz w:val="20"/>
        </w:rPr>
      </w:pPr>
      <w:r w:rsidRPr="00EB5FAF">
        <w:rPr>
          <w:rFonts w:ascii="Verdana" w:hAnsi="Verdana"/>
          <w:sz w:val="20"/>
        </w:rPr>
        <w:t xml:space="preserve">1. For calls, see </w:t>
      </w:r>
      <w:hyperlink r:id="rId37" w:history="1">
        <w:r w:rsidRPr="00EB5FAF">
          <w:rPr>
            <w:rStyle w:val="Hyperlink"/>
            <w:rFonts w:ascii="Verdana" w:hAnsi="Verdana"/>
            <w:sz w:val="20"/>
          </w:rPr>
          <w:t>Part D – Other Call Types of the Telstra Mobile section of Our Customer Terms</w:t>
        </w:r>
      </w:hyperlink>
      <w:r w:rsidRPr="00EB5FAF">
        <w:rPr>
          <w:rFonts w:ascii="Verdana" w:hAnsi="Verdana"/>
          <w:sz w:val="20"/>
        </w:rPr>
        <w:br/>
        <w:t xml:space="preserve">2. For SMS, see </w:t>
      </w:r>
      <w:hyperlink r:id="rId38" w:history="1">
        <w:r w:rsidRPr="00EB5FAF">
          <w:rPr>
            <w:rStyle w:val="Hyperlink"/>
            <w:rFonts w:ascii="Verdana" w:hAnsi="Verdana"/>
            <w:sz w:val="20"/>
          </w:rPr>
          <w:t>Part E – SMS Messages and Email of the Telstra Mobile section of Our Customer Terms</w:t>
        </w:r>
      </w:hyperlink>
      <w:r w:rsidRPr="00EB5FAF">
        <w:rPr>
          <w:rFonts w:ascii="Verdana" w:hAnsi="Verdana"/>
          <w:sz w:val="20"/>
        </w:rPr>
        <w:br/>
        <w:t xml:space="preserve">3. See </w:t>
      </w:r>
      <w:hyperlink r:id="rId39" w:history="1">
        <w:r w:rsidRPr="00EB5FAF">
          <w:rPr>
            <w:rStyle w:val="Hyperlink"/>
            <w:rFonts w:ascii="Verdana" w:hAnsi="Verdana"/>
            <w:sz w:val="20"/>
          </w:rPr>
          <w:t>Part I – Heading Overseas (International Roaming) of the Telstra Mobile section of Our Customer Terms</w:t>
        </w:r>
      </w:hyperlink>
    </w:p>
    <w:p w14:paraId="3965994D" w14:textId="1F6D7D3E" w:rsidR="00EB5FAF" w:rsidRDefault="00EB5FAF" w:rsidP="00EB5FAF"/>
    <w:p w14:paraId="466A85B8" w14:textId="77777777" w:rsidR="00071638" w:rsidRPr="00EB5FAF" w:rsidRDefault="00071638" w:rsidP="00EB5FAF"/>
    <w:sectPr w:rsidR="00071638" w:rsidRPr="00EB5FAF" w:rsidSect="00F33D02">
      <w:headerReference w:type="even" r:id="rId40"/>
      <w:footerReference w:type="even" r:id="rId41"/>
      <w:footerReference w:type="default" r:id="rId42"/>
      <w:footerReference w:type="first" r:id="rId43"/>
      <w:pgSz w:w="11907" w:h="16840" w:code="9"/>
      <w:pgMar w:top="1134" w:right="1557" w:bottom="1417" w:left="1840" w:header="0"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F4E5E" w14:textId="77777777" w:rsidR="000B5971" w:rsidRDefault="000B5971">
      <w:r>
        <w:separator/>
      </w:r>
    </w:p>
  </w:endnote>
  <w:endnote w:type="continuationSeparator" w:id="0">
    <w:p w14:paraId="4133B5C4" w14:textId="77777777" w:rsidR="000B5971" w:rsidRDefault="000B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armony-Text">
    <w:altName w:val="Courier New"/>
    <w:charset w:val="00"/>
    <w:family w:val="auto"/>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A875C" w14:textId="3CFC69D8" w:rsidR="00265542" w:rsidRPr="008F5FA4" w:rsidRDefault="002D52AF">
    <w:pPr>
      <w:pStyle w:val="Footer"/>
      <w:framePr w:wrap="around"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3A756AA5" wp14:editId="6340C088">
              <wp:simplePos x="635" y="635"/>
              <wp:positionH relativeFrom="page">
                <wp:align>center</wp:align>
              </wp:positionH>
              <wp:positionV relativeFrom="page">
                <wp:align>bottom</wp:align>
              </wp:positionV>
              <wp:extent cx="443865" cy="443865"/>
              <wp:effectExtent l="0" t="0" r="11430" b="0"/>
              <wp:wrapNone/>
              <wp:docPr id="1469738469"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8A8A3D" w14:textId="67E604DF" w:rsidR="002D52AF" w:rsidRPr="002D52AF" w:rsidRDefault="002D52AF" w:rsidP="002D52AF">
                          <w:pPr>
                            <w:rPr>
                              <w:rFonts w:ascii="Calibri" w:eastAsia="Calibri" w:hAnsi="Calibri" w:cs="Calibri"/>
                              <w:noProof/>
                              <w:color w:val="000000"/>
                              <w:sz w:val="20"/>
                            </w:rPr>
                          </w:pPr>
                          <w:r w:rsidRPr="002D52A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756AA5"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28A8A3D" w14:textId="67E604DF" w:rsidR="002D52AF" w:rsidRPr="002D52AF" w:rsidRDefault="002D52AF" w:rsidP="002D52AF">
                    <w:pPr>
                      <w:rPr>
                        <w:rFonts w:ascii="Calibri" w:eastAsia="Calibri" w:hAnsi="Calibri" w:cs="Calibri"/>
                        <w:noProof/>
                        <w:color w:val="000000"/>
                        <w:sz w:val="20"/>
                      </w:rPr>
                    </w:pPr>
                    <w:r w:rsidRPr="002D52AF">
                      <w:rPr>
                        <w:rFonts w:ascii="Calibri" w:eastAsia="Calibri" w:hAnsi="Calibri" w:cs="Calibri"/>
                        <w:noProof/>
                        <w:color w:val="000000"/>
                        <w:sz w:val="20"/>
                      </w:rPr>
                      <w:t>General</w:t>
                    </w:r>
                  </w:p>
                </w:txbxContent>
              </v:textbox>
              <w10:wrap anchorx="page" anchory="page"/>
            </v:shape>
          </w:pict>
        </mc:Fallback>
      </mc:AlternateContent>
    </w:r>
    <w:r w:rsidR="00265542" w:rsidRPr="008F5FA4">
      <w:rPr>
        <w:rStyle w:val="PageNumber"/>
      </w:rPr>
      <w:fldChar w:fldCharType="begin"/>
    </w:r>
    <w:r w:rsidR="00265542" w:rsidRPr="008F5FA4">
      <w:rPr>
        <w:rStyle w:val="PageNumber"/>
      </w:rPr>
      <w:instrText xml:space="preserve">PAGE  </w:instrText>
    </w:r>
    <w:r w:rsidR="00265542" w:rsidRPr="008F5FA4">
      <w:rPr>
        <w:rStyle w:val="PageNumber"/>
      </w:rPr>
      <w:fldChar w:fldCharType="separate"/>
    </w:r>
    <w:r w:rsidR="00265542" w:rsidRPr="008F5FA4">
      <w:rPr>
        <w:rStyle w:val="PageNumber"/>
        <w:noProof/>
      </w:rPr>
      <w:t>3</w:t>
    </w:r>
    <w:r w:rsidR="00265542" w:rsidRPr="008F5FA4">
      <w:rPr>
        <w:rStyle w:val="PageNumber"/>
      </w:rPr>
      <w:fldChar w:fldCharType="end"/>
    </w:r>
  </w:p>
  <w:p w14:paraId="5627DA18" w14:textId="77777777" w:rsidR="00265542" w:rsidRPr="008F5FA4" w:rsidRDefault="00265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1" w:type="pct"/>
      <w:tblLook w:val="0000" w:firstRow="0" w:lastRow="0" w:firstColumn="0" w:lastColumn="0" w:noHBand="0" w:noVBand="0"/>
    </w:tblPr>
    <w:tblGrid>
      <w:gridCol w:w="7263"/>
      <w:gridCol w:w="1414"/>
    </w:tblGrid>
    <w:tr w:rsidR="00265542" w14:paraId="4542AF42" w14:textId="77777777" w:rsidTr="00FC7B3B">
      <w:tc>
        <w:tcPr>
          <w:tcW w:w="4185" w:type="pct"/>
          <w:tcBorders>
            <w:top w:val="nil"/>
            <w:left w:val="nil"/>
            <w:bottom w:val="nil"/>
            <w:right w:val="nil"/>
          </w:tcBorders>
        </w:tcPr>
        <w:p w14:paraId="1888D085" w14:textId="19E22439" w:rsidR="00265542" w:rsidRPr="007D1797" w:rsidRDefault="002D52AF" w:rsidP="007770E7">
          <w:pPr>
            <w:pStyle w:val="DocName"/>
            <w:widowControl/>
            <w:rPr>
              <w:snapToGrid w:val="0"/>
              <w:szCs w:val="16"/>
            </w:rPr>
          </w:pPr>
          <w:r>
            <w:rPr>
              <w:noProof/>
              <w:szCs w:val="16"/>
            </w:rPr>
            <mc:AlternateContent>
              <mc:Choice Requires="wps">
                <w:drawing>
                  <wp:anchor distT="0" distB="0" distL="0" distR="0" simplePos="0" relativeHeight="251664384" behindDoc="0" locked="0" layoutInCell="1" allowOverlap="1" wp14:anchorId="32C190BC" wp14:editId="48D67EDE">
                    <wp:simplePos x="1238250" y="10039350"/>
                    <wp:positionH relativeFrom="page">
                      <wp:align>center</wp:align>
                    </wp:positionH>
                    <wp:positionV relativeFrom="page">
                      <wp:align>bottom</wp:align>
                    </wp:positionV>
                    <wp:extent cx="443865" cy="443865"/>
                    <wp:effectExtent l="0" t="0" r="11430" b="0"/>
                    <wp:wrapNone/>
                    <wp:docPr id="730007351"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22E2C" w14:textId="5BC20A4D" w:rsidR="002D52AF" w:rsidRPr="002D52AF" w:rsidRDefault="002D52AF" w:rsidP="002D52AF">
                                <w:pPr>
                                  <w:rPr>
                                    <w:rFonts w:ascii="Calibri" w:eastAsia="Calibri" w:hAnsi="Calibri" w:cs="Calibri"/>
                                    <w:noProof/>
                                    <w:color w:val="000000"/>
                                    <w:sz w:val="20"/>
                                  </w:rPr>
                                </w:pPr>
                                <w:r w:rsidRPr="002D52A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C190BC" id="_x0000_t202" coordsize="21600,21600" o:spt="202" path="m,l,21600r21600,l21600,xe">
                    <v:stroke joinstyle="miter"/>
                    <v:path gradientshapeok="t" o:connecttype="rect"/>
                  </v:shapetype>
                  <v:shape id="Text Box 3" o:spid="_x0000_s1027" type="#_x0000_t202" alt="Gener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0522E2C" w14:textId="5BC20A4D" w:rsidR="002D52AF" w:rsidRPr="002D52AF" w:rsidRDefault="002D52AF" w:rsidP="002D52AF">
                          <w:pPr>
                            <w:rPr>
                              <w:rFonts w:ascii="Calibri" w:eastAsia="Calibri" w:hAnsi="Calibri" w:cs="Calibri"/>
                              <w:noProof/>
                              <w:color w:val="000000"/>
                              <w:sz w:val="20"/>
                            </w:rPr>
                          </w:pPr>
                          <w:r w:rsidRPr="002D52AF">
                            <w:rPr>
                              <w:rFonts w:ascii="Calibri" w:eastAsia="Calibri" w:hAnsi="Calibri" w:cs="Calibri"/>
                              <w:noProof/>
                              <w:color w:val="000000"/>
                              <w:sz w:val="20"/>
                            </w:rPr>
                            <w:t>General</w:t>
                          </w:r>
                        </w:p>
                      </w:txbxContent>
                    </v:textbox>
                    <w10:wrap anchorx="page" anchory="page"/>
                  </v:shape>
                </w:pict>
              </mc:Fallback>
            </mc:AlternateContent>
          </w:r>
          <w:r w:rsidR="009A2187">
            <w:rPr>
              <w:szCs w:val="16"/>
            </w:rPr>
            <w:t>TELSTRA MOBILE:</w:t>
          </w:r>
          <w:r w:rsidR="001877A6">
            <w:rPr>
              <w:szCs w:val="16"/>
            </w:rPr>
            <w:t xml:space="preserve"> </w:t>
          </w:r>
          <w:r w:rsidR="00EB5FAF">
            <w:rPr>
              <w:szCs w:val="16"/>
            </w:rPr>
            <w:t>CORPORATE MOBILE PLUS</w:t>
          </w:r>
          <w:r w:rsidR="00265542">
            <w:rPr>
              <w:szCs w:val="16"/>
            </w:rPr>
            <w:t xml:space="preserve"> </w:t>
          </w:r>
          <w:r w:rsidR="00CD26A3">
            <w:rPr>
              <w:szCs w:val="16"/>
            </w:rPr>
            <w:t xml:space="preserve">– Last </w:t>
          </w:r>
          <w:proofErr w:type="gramStart"/>
          <w:r w:rsidR="00CD26A3">
            <w:rPr>
              <w:szCs w:val="16"/>
            </w:rPr>
            <w:t xml:space="preserve">updated </w:t>
          </w:r>
          <w:r w:rsidR="00A14F28">
            <w:rPr>
              <w:szCs w:val="16"/>
            </w:rPr>
            <w:t xml:space="preserve"> </w:t>
          </w:r>
          <w:r w:rsidR="00BE639B">
            <w:rPr>
              <w:szCs w:val="16"/>
            </w:rPr>
            <w:t>25</w:t>
          </w:r>
          <w:proofErr w:type="gramEnd"/>
          <w:r w:rsidR="00BE639B">
            <w:rPr>
              <w:szCs w:val="16"/>
            </w:rPr>
            <w:t xml:space="preserve"> September 2023</w:t>
          </w:r>
          <w:r w:rsidR="00A14F28">
            <w:rPr>
              <w:szCs w:val="16"/>
            </w:rPr>
            <w:t>.</w:t>
          </w:r>
        </w:p>
      </w:tc>
      <w:tc>
        <w:tcPr>
          <w:tcW w:w="815" w:type="pct"/>
          <w:tcBorders>
            <w:top w:val="nil"/>
            <w:left w:val="nil"/>
            <w:bottom w:val="nil"/>
            <w:right w:val="nil"/>
          </w:tcBorders>
        </w:tcPr>
        <w:p w14:paraId="53B44187" w14:textId="77777777" w:rsidR="00265542" w:rsidRPr="00090E86" w:rsidRDefault="00265542" w:rsidP="00FC7B3B">
          <w:pPr>
            <w:rPr>
              <w:rStyle w:val="PageNumber"/>
              <w:rFonts w:ascii="Verdana" w:hAnsi="Verdana"/>
              <w:sz w:val="16"/>
              <w:szCs w:val="16"/>
            </w:rPr>
          </w:pPr>
          <w:r w:rsidRPr="00375B07">
            <w:rPr>
              <w:rStyle w:val="PageNumber"/>
              <w:rFonts w:ascii="Verdana" w:hAnsi="Verdana"/>
              <w:sz w:val="16"/>
              <w:szCs w:val="16"/>
            </w:rPr>
            <w:t xml:space="preserve">Page </w:t>
          </w:r>
          <w:r w:rsidRPr="00090E86">
            <w:rPr>
              <w:rStyle w:val="PageNumber"/>
              <w:rFonts w:ascii="Verdana" w:hAnsi="Verdana"/>
              <w:sz w:val="16"/>
              <w:szCs w:val="16"/>
            </w:rPr>
            <w:fldChar w:fldCharType="begin"/>
          </w:r>
          <w:r w:rsidRPr="00375B07">
            <w:rPr>
              <w:rStyle w:val="PageNumber"/>
              <w:rFonts w:ascii="Verdana" w:hAnsi="Verdana"/>
              <w:sz w:val="16"/>
              <w:szCs w:val="16"/>
            </w:rPr>
            <w:instrText xml:space="preserve"> PAGE \*MERGEFORMAT </w:instrText>
          </w:r>
          <w:r w:rsidRPr="00090E86">
            <w:rPr>
              <w:rStyle w:val="PageNumber"/>
              <w:rFonts w:ascii="Verdana" w:hAnsi="Verdana"/>
              <w:sz w:val="16"/>
              <w:szCs w:val="16"/>
            </w:rPr>
            <w:fldChar w:fldCharType="separate"/>
          </w:r>
          <w:r>
            <w:rPr>
              <w:rStyle w:val="PageNumber"/>
              <w:rFonts w:ascii="Verdana" w:hAnsi="Verdana"/>
              <w:noProof/>
              <w:sz w:val="16"/>
              <w:szCs w:val="16"/>
            </w:rPr>
            <w:t>1</w:t>
          </w:r>
          <w:r w:rsidRPr="00090E86">
            <w:rPr>
              <w:rStyle w:val="PageNumber"/>
              <w:rFonts w:ascii="Verdana" w:hAnsi="Verdana"/>
              <w:sz w:val="16"/>
              <w:szCs w:val="16"/>
            </w:rPr>
            <w:fldChar w:fldCharType="end"/>
          </w:r>
          <w:r w:rsidRPr="00375B07">
            <w:rPr>
              <w:rStyle w:val="PageNumber"/>
              <w:rFonts w:ascii="Verdana" w:hAnsi="Verdana"/>
              <w:sz w:val="16"/>
              <w:szCs w:val="16"/>
            </w:rPr>
            <w:t xml:space="preserve"> of </w:t>
          </w:r>
          <w:r w:rsidRPr="007757F9">
            <w:rPr>
              <w:rFonts w:ascii="Verdana" w:hAnsi="Verdana"/>
              <w:sz w:val="16"/>
              <w:szCs w:val="16"/>
            </w:rPr>
            <w:fldChar w:fldCharType="begin"/>
          </w:r>
          <w:r w:rsidRPr="007757F9">
            <w:rPr>
              <w:rFonts w:ascii="Verdana" w:hAnsi="Verdana"/>
              <w:sz w:val="16"/>
              <w:szCs w:val="16"/>
            </w:rPr>
            <w:instrText xml:space="preserve"> NUMPAGES  \* Arabic \*MERGEFORMAT </w:instrText>
          </w:r>
          <w:r w:rsidRPr="007757F9">
            <w:rPr>
              <w:rFonts w:ascii="Verdana" w:hAnsi="Verdana"/>
              <w:sz w:val="16"/>
              <w:szCs w:val="16"/>
            </w:rPr>
            <w:fldChar w:fldCharType="separate"/>
          </w:r>
          <w:r>
            <w:rPr>
              <w:rFonts w:ascii="Verdana" w:hAnsi="Verdana"/>
              <w:noProof/>
              <w:sz w:val="16"/>
              <w:szCs w:val="16"/>
            </w:rPr>
            <w:t>20</w:t>
          </w:r>
          <w:r w:rsidRPr="007757F9">
            <w:rPr>
              <w:rFonts w:ascii="Verdana" w:hAnsi="Verdana"/>
              <w:noProof/>
              <w:sz w:val="16"/>
              <w:szCs w:val="16"/>
            </w:rPr>
            <w:fldChar w:fldCharType="end"/>
          </w:r>
        </w:p>
      </w:tc>
    </w:tr>
  </w:tbl>
  <w:p w14:paraId="2A4A614D" w14:textId="77777777" w:rsidR="00265542" w:rsidRPr="008F67DB" w:rsidRDefault="00265542" w:rsidP="00DA5812">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1" w:type="pct"/>
      <w:tblLook w:val="0000" w:firstRow="0" w:lastRow="0" w:firstColumn="0" w:lastColumn="0" w:noHBand="0" w:noVBand="0"/>
    </w:tblPr>
    <w:tblGrid>
      <w:gridCol w:w="7263"/>
      <w:gridCol w:w="1414"/>
    </w:tblGrid>
    <w:tr w:rsidR="001877A6" w14:paraId="2166D2DC" w14:textId="77777777" w:rsidTr="006F0CCA">
      <w:tc>
        <w:tcPr>
          <w:tcW w:w="4185" w:type="pct"/>
          <w:tcBorders>
            <w:top w:val="nil"/>
            <w:left w:val="nil"/>
            <w:bottom w:val="nil"/>
            <w:right w:val="nil"/>
          </w:tcBorders>
        </w:tcPr>
        <w:p w14:paraId="6022B3FB" w14:textId="553EAB5D" w:rsidR="001877A6" w:rsidRPr="007D1797" w:rsidRDefault="002D52AF" w:rsidP="001877A6">
          <w:pPr>
            <w:pStyle w:val="DocName"/>
            <w:widowControl/>
            <w:rPr>
              <w:snapToGrid w:val="0"/>
              <w:szCs w:val="16"/>
            </w:rPr>
          </w:pPr>
          <w:r>
            <w:rPr>
              <w:noProof/>
              <w:szCs w:val="16"/>
            </w:rPr>
            <mc:AlternateContent>
              <mc:Choice Requires="wps">
                <w:drawing>
                  <wp:anchor distT="0" distB="0" distL="0" distR="0" simplePos="0" relativeHeight="251662336" behindDoc="0" locked="0" layoutInCell="1" allowOverlap="1" wp14:anchorId="6040F416" wp14:editId="5BD7868E">
                    <wp:simplePos x="1237615" y="10036810"/>
                    <wp:positionH relativeFrom="page">
                      <wp:align>center</wp:align>
                    </wp:positionH>
                    <wp:positionV relativeFrom="page">
                      <wp:align>bottom</wp:align>
                    </wp:positionV>
                    <wp:extent cx="443865" cy="443865"/>
                    <wp:effectExtent l="0" t="0" r="11430" b="0"/>
                    <wp:wrapNone/>
                    <wp:docPr id="1947162587"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AAB5C0" w14:textId="2D0B50DB" w:rsidR="002D52AF" w:rsidRPr="002D52AF" w:rsidRDefault="002D52AF" w:rsidP="002D52AF">
                                <w:pPr>
                                  <w:rPr>
                                    <w:rFonts w:ascii="Calibri" w:eastAsia="Calibri" w:hAnsi="Calibri" w:cs="Calibri"/>
                                    <w:noProof/>
                                    <w:color w:val="000000"/>
                                    <w:sz w:val="20"/>
                                  </w:rPr>
                                </w:pPr>
                                <w:r w:rsidRPr="002D52A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0F416" id="_x0000_t202" coordsize="21600,21600" o:spt="202" path="m,l,21600r21600,l21600,xe">
                    <v:stroke joinstyle="miter"/>
                    <v:path gradientshapeok="t" o:connecttype="rect"/>
                  </v:shapetype>
                  <v:shape id="Text Box 1" o:spid="_x0000_s1028" type="#_x0000_t202" alt="Gener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1AAB5C0" w14:textId="2D0B50DB" w:rsidR="002D52AF" w:rsidRPr="002D52AF" w:rsidRDefault="002D52AF" w:rsidP="002D52AF">
                          <w:pPr>
                            <w:rPr>
                              <w:rFonts w:ascii="Calibri" w:eastAsia="Calibri" w:hAnsi="Calibri" w:cs="Calibri"/>
                              <w:noProof/>
                              <w:color w:val="000000"/>
                              <w:sz w:val="20"/>
                            </w:rPr>
                          </w:pPr>
                          <w:r w:rsidRPr="002D52AF">
                            <w:rPr>
                              <w:rFonts w:ascii="Calibri" w:eastAsia="Calibri" w:hAnsi="Calibri" w:cs="Calibri"/>
                              <w:noProof/>
                              <w:color w:val="000000"/>
                              <w:sz w:val="20"/>
                            </w:rPr>
                            <w:t>General</w:t>
                          </w:r>
                        </w:p>
                      </w:txbxContent>
                    </v:textbox>
                    <w10:wrap anchorx="page" anchory="page"/>
                  </v:shape>
                </w:pict>
              </mc:Fallback>
            </mc:AlternateContent>
          </w:r>
          <w:r w:rsidR="00EB5FAF">
            <w:rPr>
              <w:szCs w:val="16"/>
            </w:rPr>
            <w:t>TELSTRA MOBILE: CORPORATE MOBILE PLUS</w:t>
          </w:r>
          <w:r w:rsidR="00EB5FAF" w:rsidRPr="007D1797">
            <w:rPr>
              <w:szCs w:val="16"/>
            </w:rPr>
            <w:t xml:space="preserve"> </w:t>
          </w:r>
          <w:r w:rsidR="00D9292A">
            <w:rPr>
              <w:szCs w:val="16"/>
            </w:rPr>
            <w:t xml:space="preserve">– Last updated </w:t>
          </w:r>
          <w:r w:rsidR="00535B28">
            <w:rPr>
              <w:szCs w:val="16"/>
            </w:rPr>
            <w:t>7 October</w:t>
          </w:r>
          <w:r w:rsidR="00D9292A">
            <w:rPr>
              <w:szCs w:val="16"/>
            </w:rPr>
            <w:t xml:space="preserve"> 2020</w:t>
          </w:r>
        </w:p>
      </w:tc>
      <w:tc>
        <w:tcPr>
          <w:tcW w:w="815" w:type="pct"/>
          <w:tcBorders>
            <w:top w:val="nil"/>
            <w:left w:val="nil"/>
            <w:bottom w:val="nil"/>
            <w:right w:val="nil"/>
          </w:tcBorders>
        </w:tcPr>
        <w:p w14:paraId="2E5F8465" w14:textId="77777777" w:rsidR="001877A6" w:rsidRPr="00090E86" w:rsidRDefault="001877A6" w:rsidP="001877A6">
          <w:pPr>
            <w:rPr>
              <w:rStyle w:val="PageNumber"/>
              <w:rFonts w:ascii="Verdana" w:hAnsi="Verdana"/>
              <w:sz w:val="16"/>
              <w:szCs w:val="16"/>
            </w:rPr>
          </w:pPr>
          <w:r w:rsidRPr="00375B07">
            <w:rPr>
              <w:rStyle w:val="PageNumber"/>
              <w:rFonts w:ascii="Verdana" w:hAnsi="Verdana"/>
              <w:sz w:val="16"/>
              <w:szCs w:val="16"/>
            </w:rPr>
            <w:t xml:space="preserve">Page </w:t>
          </w:r>
          <w:r w:rsidRPr="00090E86">
            <w:rPr>
              <w:rStyle w:val="PageNumber"/>
              <w:rFonts w:ascii="Verdana" w:hAnsi="Verdana"/>
              <w:sz w:val="16"/>
              <w:szCs w:val="16"/>
            </w:rPr>
            <w:fldChar w:fldCharType="begin"/>
          </w:r>
          <w:r w:rsidRPr="00375B07">
            <w:rPr>
              <w:rStyle w:val="PageNumber"/>
              <w:rFonts w:ascii="Verdana" w:hAnsi="Verdana"/>
              <w:sz w:val="16"/>
              <w:szCs w:val="16"/>
            </w:rPr>
            <w:instrText xml:space="preserve"> PAGE \*MERGEFORMAT </w:instrText>
          </w:r>
          <w:r w:rsidRPr="00090E86">
            <w:rPr>
              <w:rStyle w:val="PageNumber"/>
              <w:rFonts w:ascii="Verdana" w:hAnsi="Verdana"/>
              <w:sz w:val="16"/>
              <w:szCs w:val="16"/>
            </w:rPr>
            <w:fldChar w:fldCharType="separate"/>
          </w:r>
          <w:r>
            <w:rPr>
              <w:rStyle w:val="PageNumber"/>
              <w:rFonts w:ascii="Verdana" w:hAnsi="Verdana"/>
              <w:noProof/>
              <w:sz w:val="16"/>
              <w:szCs w:val="16"/>
            </w:rPr>
            <w:t>1</w:t>
          </w:r>
          <w:r w:rsidRPr="00090E86">
            <w:rPr>
              <w:rStyle w:val="PageNumber"/>
              <w:rFonts w:ascii="Verdana" w:hAnsi="Verdana"/>
              <w:sz w:val="16"/>
              <w:szCs w:val="16"/>
            </w:rPr>
            <w:fldChar w:fldCharType="end"/>
          </w:r>
          <w:r w:rsidRPr="00375B07">
            <w:rPr>
              <w:rStyle w:val="PageNumber"/>
              <w:rFonts w:ascii="Verdana" w:hAnsi="Verdana"/>
              <w:sz w:val="16"/>
              <w:szCs w:val="16"/>
            </w:rPr>
            <w:t xml:space="preserve"> of </w:t>
          </w:r>
          <w:r w:rsidRPr="007757F9">
            <w:rPr>
              <w:rFonts w:ascii="Verdana" w:hAnsi="Verdana"/>
              <w:sz w:val="16"/>
              <w:szCs w:val="16"/>
            </w:rPr>
            <w:fldChar w:fldCharType="begin"/>
          </w:r>
          <w:r w:rsidRPr="007757F9">
            <w:rPr>
              <w:rFonts w:ascii="Verdana" w:hAnsi="Verdana"/>
              <w:sz w:val="16"/>
              <w:szCs w:val="16"/>
            </w:rPr>
            <w:instrText xml:space="preserve"> NUMPAGES  \* Arabic \*MERGEFORMAT </w:instrText>
          </w:r>
          <w:r w:rsidRPr="007757F9">
            <w:rPr>
              <w:rFonts w:ascii="Verdana" w:hAnsi="Verdana"/>
              <w:sz w:val="16"/>
              <w:szCs w:val="16"/>
            </w:rPr>
            <w:fldChar w:fldCharType="separate"/>
          </w:r>
          <w:r>
            <w:rPr>
              <w:rFonts w:ascii="Verdana" w:hAnsi="Verdana"/>
              <w:noProof/>
              <w:sz w:val="16"/>
              <w:szCs w:val="16"/>
            </w:rPr>
            <w:t>20</w:t>
          </w:r>
          <w:r w:rsidRPr="007757F9">
            <w:rPr>
              <w:rFonts w:ascii="Verdana" w:hAnsi="Verdana"/>
              <w:noProof/>
              <w:sz w:val="16"/>
              <w:szCs w:val="16"/>
            </w:rPr>
            <w:fldChar w:fldCharType="end"/>
          </w:r>
        </w:p>
      </w:tc>
    </w:tr>
  </w:tbl>
  <w:p w14:paraId="06A76D8F" w14:textId="77777777" w:rsidR="001877A6" w:rsidRDefault="001877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1269" w14:textId="7F628CF2" w:rsidR="002D52AF" w:rsidRPr="008F5FA4" w:rsidRDefault="002D52AF">
    <w:pPr>
      <w:pStyle w:val="Footer"/>
      <w:framePr w:wrap="around" w:vAnchor="text" w:hAnchor="margin" w:xAlign="right" w:y="1"/>
      <w:rPr>
        <w:rStyle w:val="PageNumber"/>
      </w:rPr>
    </w:pPr>
    <w:r>
      <w:rPr>
        <w:noProof/>
      </w:rPr>
      <mc:AlternateContent>
        <mc:Choice Requires="wps">
          <w:drawing>
            <wp:anchor distT="0" distB="0" distL="0" distR="0" simplePos="0" relativeHeight="251666432" behindDoc="0" locked="0" layoutInCell="1" allowOverlap="1" wp14:anchorId="02C62836" wp14:editId="5DFAEBFF">
              <wp:simplePos x="635" y="635"/>
              <wp:positionH relativeFrom="page">
                <wp:align>center</wp:align>
              </wp:positionH>
              <wp:positionV relativeFrom="page">
                <wp:align>bottom</wp:align>
              </wp:positionV>
              <wp:extent cx="443865" cy="443865"/>
              <wp:effectExtent l="0" t="0" r="11430" b="0"/>
              <wp:wrapNone/>
              <wp:docPr id="1464815464"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5A2F8" w14:textId="5059E187" w:rsidR="002D52AF" w:rsidRPr="002D52AF" w:rsidRDefault="002D52AF" w:rsidP="002D52AF">
                          <w:pPr>
                            <w:rPr>
                              <w:rFonts w:ascii="Calibri" w:eastAsia="Calibri" w:hAnsi="Calibri" w:cs="Calibri"/>
                              <w:noProof/>
                              <w:color w:val="000000"/>
                              <w:sz w:val="20"/>
                            </w:rPr>
                          </w:pPr>
                          <w:r w:rsidRPr="002D52A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C62836" id="_x0000_t202" coordsize="21600,21600" o:spt="202" path="m,l,21600r21600,l21600,xe">
              <v:stroke joinstyle="miter"/>
              <v:path gradientshapeok="t" o:connecttype="rect"/>
            </v:shapetype>
            <v:shape id="Text Box 5" o:spid="_x0000_s1029" type="#_x0000_t202" alt="Gener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055A2F8" w14:textId="5059E187" w:rsidR="002D52AF" w:rsidRPr="002D52AF" w:rsidRDefault="002D52AF" w:rsidP="002D52AF">
                    <w:pPr>
                      <w:rPr>
                        <w:rFonts w:ascii="Calibri" w:eastAsia="Calibri" w:hAnsi="Calibri" w:cs="Calibri"/>
                        <w:noProof/>
                        <w:color w:val="000000"/>
                        <w:sz w:val="20"/>
                      </w:rPr>
                    </w:pPr>
                    <w:r w:rsidRPr="002D52AF">
                      <w:rPr>
                        <w:rFonts w:ascii="Calibri" w:eastAsia="Calibri" w:hAnsi="Calibri" w:cs="Calibri"/>
                        <w:noProof/>
                        <w:color w:val="000000"/>
                        <w:sz w:val="20"/>
                      </w:rPr>
                      <w:t>General</w:t>
                    </w:r>
                  </w:p>
                </w:txbxContent>
              </v:textbox>
              <w10:wrap anchorx="page" anchory="page"/>
            </v:shape>
          </w:pict>
        </mc:Fallback>
      </mc:AlternateContent>
    </w:r>
    <w:r w:rsidR="0046709A" w:rsidRPr="008F5FA4">
      <w:rPr>
        <w:rStyle w:val="PageNumber"/>
      </w:rPr>
      <w:fldChar w:fldCharType="begin"/>
    </w:r>
    <w:r w:rsidR="0046709A" w:rsidRPr="008F5FA4">
      <w:rPr>
        <w:rStyle w:val="PageNumber"/>
      </w:rPr>
      <w:instrText xml:space="preserve">PAGE  </w:instrText>
    </w:r>
    <w:r w:rsidR="0046709A" w:rsidRPr="008F5FA4">
      <w:rPr>
        <w:rStyle w:val="PageNumber"/>
      </w:rPr>
      <w:fldChar w:fldCharType="separate"/>
    </w:r>
    <w:r w:rsidR="0046709A" w:rsidRPr="008F5FA4">
      <w:rPr>
        <w:rStyle w:val="PageNumber"/>
        <w:noProof/>
      </w:rPr>
      <w:t>3</w:t>
    </w:r>
    <w:r w:rsidR="0046709A" w:rsidRPr="008F5FA4">
      <w:rPr>
        <w:rStyle w:val="PageNumber"/>
      </w:rPr>
      <w:fldChar w:fldCharType="end"/>
    </w:r>
  </w:p>
  <w:p w14:paraId="0CC323BC" w14:textId="77777777" w:rsidR="002D52AF" w:rsidRPr="008F5FA4" w:rsidRDefault="002D52A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31607" w14:textId="7BC18161" w:rsidR="002D52AF" w:rsidRDefault="00BE639B">
    <w:pPr>
      <w:pStyle w:val="Footer"/>
    </w:pPr>
    <w:r>
      <w:rPr>
        <w:szCs w:val="16"/>
      </w:rPr>
      <w:t xml:space="preserve">TELSTRA MOBILE: CORPORATE MOBILE PLUS – Last </w:t>
    </w:r>
    <w:proofErr w:type="gramStart"/>
    <w:r>
      <w:rPr>
        <w:szCs w:val="16"/>
      </w:rPr>
      <w:t>updated  25</w:t>
    </w:r>
    <w:proofErr w:type="gramEnd"/>
    <w:r>
      <w:rPr>
        <w:szCs w:val="16"/>
      </w:rPr>
      <w:t xml:space="preserve"> September 2023.</w:t>
    </w:r>
    <w:r w:rsidR="002D52AF">
      <w:rPr>
        <w:noProof/>
      </w:rPr>
      <mc:AlternateContent>
        <mc:Choice Requires="wps">
          <w:drawing>
            <wp:anchor distT="0" distB="0" distL="0" distR="0" simplePos="0" relativeHeight="251667456" behindDoc="0" locked="0" layoutInCell="1" allowOverlap="1" wp14:anchorId="0C143CE3" wp14:editId="5402D2B3">
              <wp:simplePos x="1171575" y="10220325"/>
              <wp:positionH relativeFrom="page">
                <wp:align>center</wp:align>
              </wp:positionH>
              <wp:positionV relativeFrom="page">
                <wp:align>bottom</wp:align>
              </wp:positionV>
              <wp:extent cx="443865" cy="443865"/>
              <wp:effectExtent l="0" t="0" r="11430" b="0"/>
              <wp:wrapNone/>
              <wp:docPr id="1846417037"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92703" w14:textId="0D3A534B" w:rsidR="002D52AF" w:rsidRPr="002D52AF" w:rsidRDefault="002D52AF" w:rsidP="002D52AF">
                          <w:pPr>
                            <w:rPr>
                              <w:rFonts w:ascii="Calibri" w:eastAsia="Calibri" w:hAnsi="Calibri" w:cs="Calibri"/>
                              <w:noProof/>
                              <w:color w:val="000000"/>
                              <w:sz w:val="20"/>
                            </w:rPr>
                          </w:pPr>
                          <w:r w:rsidRPr="002D52A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143CE3" id="_x0000_t202" coordsize="21600,21600" o:spt="202" path="m,l,21600r21600,l21600,xe">
              <v:stroke joinstyle="miter"/>
              <v:path gradientshapeok="t" o:connecttype="rect"/>
            </v:shapetype>
            <v:shape id="Text Box 6" o:spid="_x0000_s1030" type="#_x0000_t202" alt="Gener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E592703" w14:textId="0D3A534B" w:rsidR="002D52AF" w:rsidRPr="002D52AF" w:rsidRDefault="002D52AF" w:rsidP="002D52AF">
                    <w:pPr>
                      <w:rPr>
                        <w:rFonts w:ascii="Calibri" w:eastAsia="Calibri" w:hAnsi="Calibri" w:cs="Calibri"/>
                        <w:noProof/>
                        <w:color w:val="000000"/>
                        <w:sz w:val="20"/>
                      </w:rPr>
                    </w:pPr>
                    <w:r w:rsidRPr="002D52AF">
                      <w:rPr>
                        <w:rFonts w:ascii="Calibri" w:eastAsia="Calibri" w:hAnsi="Calibri" w:cs="Calibri"/>
                        <w:noProof/>
                        <w:color w:val="000000"/>
                        <w:sz w:val="20"/>
                      </w:rPr>
                      <w:t>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7BFB" w14:textId="1E4EFEEE" w:rsidR="002D52AF" w:rsidRDefault="00BE639B">
    <w:pPr>
      <w:pStyle w:val="Footer"/>
    </w:pPr>
    <w:r>
      <w:rPr>
        <w:szCs w:val="16"/>
      </w:rPr>
      <w:t xml:space="preserve">TELSTRA MOBILE: CORPORATE MOBILE PLUS – Last </w:t>
    </w:r>
    <w:proofErr w:type="gramStart"/>
    <w:r>
      <w:rPr>
        <w:szCs w:val="16"/>
      </w:rPr>
      <w:t>updated  25</w:t>
    </w:r>
    <w:proofErr w:type="gramEnd"/>
    <w:r>
      <w:rPr>
        <w:szCs w:val="16"/>
      </w:rPr>
      <w:t xml:space="preserve"> September 2023.</w:t>
    </w:r>
    <w:r w:rsidR="002D52AF">
      <w:rPr>
        <w:noProof/>
      </w:rPr>
      <mc:AlternateContent>
        <mc:Choice Requires="wps">
          <w:drawing>
            <wp:anchor distT="0" distB="0" distL="0" distR="0" simplePos="0" relativeHeight="251665408" behindDoc="0" locked="0" layoutInCell="1" allowOverlap="1" wp14:anchorId="59CB26FF" wp14:editId="6163E173">
              <wp:simplePos x="1169035" y="10217150"/>
              <wp:positionH relativeFrom="page">
                <wp:align>center</wp:align>
              </wp:positionH>
              <wp:positionV relativeFrom="page">
                <wp:align>bottom</wp:align>
              </wp:positionV>
              <wp:extent cx="443865" cy="443865"/>
              <wp:effectExtent l="0" t="0" r="11430" b="0"/>
              <wp:wrapNone/>
              <wp:docPr id="44748503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9FEA8" w14:textId="364B3917" w:rsidR="002D52AF" w:rsidRPr="002D52AF" w:rsidRDefault="002D52AF" w:rsidP="002D52AF">
                          <w:pPr>
                            <w:rPr>
                              <w:rFonts w:ascii="Calibri" w:eastAsia="Calibri" w:hAnsi="Calibri" w:cs="Calibri"/>
                              <w:noProof/>
                              <w:color w:val="000000"/>
                              <w:sz w:val="20"/>
                            </w:rPr>
                          </w:pPr>
                          <w:r w:rsidRPr="002D52A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CB26FF" id="_x0000_t202" coordsize="21600,21600" o:spt="202" path="m,l,21600r21600,l21600,xe">
              <v:stroke joinstyle="miter"/>
              <v:path gradientshapeok="t" o:connecttype="rect"/>
            </v:shapetype>
            <v:shape id="Text Box 4" o:spid="_x0000_s1031" type="#_x0000_t202" alt="Gener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E19FEA8" w14:textId="364B3917" w:rsidR="002D52AF" w:rsidRPr="002D52AF" w:rsidRDefault="002D52AF" w:rsidP="002D52AF">
                    <w:pPr>
                      <w:rPr>
                        <w:rFonts w:ascii="Calibri" w:eastAsia="Calibri" w:hAnsi="Calibri" w:cs="Calibri"/>
                        <w:noProof/>
                        <w:color w:val="000000"/>
                        <w:sz w:val="20"/>
                      </w:rPr>
                    </w:pPr>
                    <w:r w:rsidRPr="002D52AF">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AC7CF" w14:textId="77777777" w:rsidR="000B5971" w:rsidRDefault="000B5971">
      <w:r>
        <w:separator/>
      </w:r>
    </w:p>
  </w:footnote>
  <w:footnote w:type="continuationSeparator" w:id="0">
    <w:p w14:paraId="2A8C075A" w14:textId="77777777" w:rsidR="000B5971" w:rsidRDefault="000B5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CCFB" w14:textId="77777777" w:rsidR="00BE639B" w:rsidRDefault="00BE6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ACE2" w14:textId="3CD8C1D2" w:rsidR="00490529" w:rsidRDefault="00774367" w:rsidP="00490529">
    <w:pPr>
      <w:pStyle w:val="Header"/>
      <w:widowControl w:val="0"/>
      <w:ind w:left="-1587" w:right="-57"/>
      <w:rPr>
        <w:rFonts w:cs="Arial"/>
        <w:noProof/>
        <w:sz w:val="32"/>
        <w:szCs w:val="32"/>
      </w:rPr>
    </w:pPr>
    <w:r w:rsidRPr="00490529">
      <w:rPr>
        <w:rFonts w:cs="Arial"/>
        <w:noProof/>
        <w:sz w:val="32"/>
        <w:szCs w:val="32"/>
      </w:rPr>
      <w:drawing>
        <wp:anchor distT="0" distB="0" distL="114300" distR="114300" simplePos="0" relativeHeight="251661312" behindDoc="0" locked="0" layoutInCell="1" allowOverlap="1" wp14:anchorId="070CD05B" wp14:editId="1B82096A">
          <wp:simplePos x="0" y="0"/>
          <wp:positionH relativeFrom="column">
            <wp:posOffset>-1187006</wp:posOffset>
          </wp:positionH>
          <wp:positionV relativeFrom="paragraph">
            <wp:posOffset>0</wp:posOffset>
          </wp:positionV>
          <wp:extent cx="7624175" cy="130753"/>
          <wp:effectExtent l="0" t="0" r="0" b="3175"/>
          <wp:wrapNone/>
          <wp:docPr id="9" name="Picture 5">
            <a:extLst xmlns:a="http://schemas.openxmlformats.org/drawingml/2006/main">
              <a:ext uri="{FF2B5EF4-FFF2-40B4-BE49-F238E27FC236}">
                <a16:creationId xmlns:a16="http://schemas.microsoft.com/office/drawing/2014/main" id="{CDB2F976-E38F-4217-B4FA-152B5DC7F7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DB2F976-E38F-4217-B4FA-152B5DC7F7D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43573" cy="134516"/>
                  </a:xfrm>
                  <a:prstGeom prst="rect">
                    <a:avLst/>
                  </a:prstGeom>
                </pic:spPr>
              </pic:pic>
            </a:graphicData>
          </a:graphic>
          <wp14:sizeRelH relativeFrom="page">
            <wp14:pctWidth>0</wp14:pctWidth>
          </wp14:sizeRelH>
          <wp14:sizeRelV relativeFrom="page">
            <wp14:pctHeight>0</wp14:pctHeight>
          </wp14:sizeRelV>
        </wp:anchor>
      </w:drawing>
    </w:r>
    <w:r w:rsidR="00490529" w:rsidRPr="00490529">
      <w:rPr>
        <w:rFonts w:cs="Arial"/>
        <w:noProof/>
        <w:sz w:val="32"/>
        <w:szCs w:val="32"/>
      </w:rPr>
      <w:drawing>
        <wp:anchor distT="0" distB="0" distL="114300" distR="114300" simplePos="0" relativeHeight="251658240" behindDoc="0" locked="0" layoutInCell="1" allowOverlap="1" wp14:anchorId="1B999627" wp14:editId="4C1D87C9">
          <wp:simplePos x="0" y="0"/>
          <wp:positionH relativeFrom="column">
            <wp:posOffset>5581224</wp:posOffset>
          </wp:positionH>
          <wp:positionV relativeFrom="paragraph">
            <wp:posOffset>400833</wp:posOffset>
          </wp:positionV>
          <wp:extent cx="383540" cy="438785"/>
          <wp:effectExtent l="0" t="0" r="0" b="0"/>
          <wp:wrapNone/>
          <wp:docPr id="8" name="Picture 7" descr="A picture containing vector graphics&#10;&#10;Description automatically generated">
            <a:extLst xmlns:a="http://schemas.openxmlformats.org/drawingml/2006/main">
              <a:ext uri="{FF2B5EF4-FFF2-40B4-BE49-F238E27FC236}">
                <a16:creationId xmlns:a16="http://schemas.microsoft.com/office/drawing/2014/main" id="{183C5674-0BA6-4C23-8682-E4A6AE220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vector graphics&#10;&#10;Description automatically generated">
                    <a:extLst>
                      <a:ext uri="{FF2B5EF4-FFF2-40B4-BE49-F238E27FC236}">
                        <a16:creationId xmlns:a16="http://schemas.microsoft.com/office/drawing/2014/main" id="{183C5674-0BA6-4C23-8682-E4A6AE220EF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3540" cy="438785"/>
                  </a:xfrm>
                  <a:prstGeom prst="rect">
                    <a:avLst/>
                  </a:prstGeom>
                </pic:spPr>
              </pic:pic>
            </a:graphicData>
          </a:graphic>
          <wp14:sizeRelH relativeFrom="margin">
            <wp14:pctWidth>0</wp14:pctWidth>
          </wp14:sizeRelH>
          <wp14:sizeRelV relativeFrom="margin">
            <wp14:pctHeight>0</wp14:pctHeight>
          </wp14:sizeRelV>
        </wp:anchor>
      </w:drawing>
    </w:r>
  </w:p>
  <w:p w14:paraId="186CA078" w14:textId="1556D83D" w:rsidR="00490529" w:rsidRDefault="00490529" w:rsidP="00490529">
    <w:pPr>
      <w:pStyle w:val="Header"/>
      <w:widowControl w:val="0"/>
      <w:ind w:left="-1587" w:right="-57"/>
      <w:rPr>
        <w:rFonts w:cs="Arial"/>
        <w:noProof/>
        <w:sz w:val="32"/>
        <w:szCs w:val="32"/>
      </w:rPr>
    </w:pPr>
  </w:p>
  <w:p w14:paraId="49495BC2" w14:textId="29419C6F" w:rsidR="00490529" w:rsidRDefault="00265542" w:rsidP="00774367">
    <w:pPr>
      <w:pStyle w:val="Header"/>
      <w:widowControl w:val="0"/>
      <w:ind w:left="-1587" w:right="-57" w:firstLine="850"/>
      <w:rPr>
        <w:rFonts w:cs="Arial"/>
        <w:noProof/>
        <w:sz w:val="32"/>
        <w:szCs w:val="32"/>
      </w:rPr>
    </w:pPr>
    <w:r w:rsidRPr="00FA4227">
      <w:rPr>
        <w:rFonts w:cs="Arial"/>
        <w:noProof/>
        <w:sz w:val="32"/>
        <w:szCs w:val="32"/>
      </w:rPr>
      <w:t>Our Customer Terms</w:t>
    </w:r>
    <w:r w:rsidRPr="00FA4227">
      <w:rPr>
        <w:rFonts w:cs="Arial"/>
        <w:noProof/>
        <w:sz w:val="32"/>
        <w:szCs w:val="32"/>
      </w:rPr>
      <w:tab/>
    </w:r>
  </w:p>
  <w:p w14:paraId="58B17DF9" w14:textId="65D6E947" w:rsidR="00265542" w:rsidRPr="00F734FD" w:rsidRDefault="00071638" w:rsidP="00774367">
    <w:pPr>
      <w:pStyle w:val="Header"/>
      <w:widowControl w:val="0"/>
      <w:ind w:left="-1587" w:right="-57" w:firstLine="850"/>
      <w:rPr>
        <w:rFonts w:cs="Arial"/>
        <w:noProof/>
        <w:sz w:val="32"/>
        <w:szCs w:val="32"/>
      </w:rPr>
    </w:pPr>
    <w:r>
      <w:rPr>
        <w:rFonts w:cs="Arial"/>
        <w:noProof/>
        <w:sz w:val="32"/>
        <w:szCs w:val="32"/>
      </w:rPr>
      <w:t>Telstra Mobile -</w:t>
    </w:r>
    <w:r w:rsidR="00D84134">
      <w:rPr>
        <w:rFonts w:cs="Arial"/>
        <w:noProof/>
        <w:sz w:val="32"/>
        <w:szCs w:val="32"/>
      </w:rPr>
      <w:t xml:space="preserve"> Corporate Mobile Plus Plans</w:t>
    </w:r>
  </w:p>
  <w:p w14:paraId="2C3A9E63" w14:textId="77777777" w:rsidR="00265542" w:rsidRPr="00BA0528" w:rsidRDefault="00265542" w:rsidP="00A157C1">
    <w:pPr>
      <w:pStyle w:val="Header"/>
      <w:widowControl w:val="0"/>
      <w:rPr>
        <w:rFonts w:ascii="Verdana" w:hAnsi="Verdana" w:cs="Arial"/>
        <w:noProo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23764" w14:textId="3E00212A" w:rsidR="00E726A5" w:rsidRDefault="00F33D02" w:rsidP="00E726A5">
    <w:pPr>
      <w:pStyle w:val="Header"/>
      <w:widowControl w:val="0"/>
      <w:ind w:left="2127" w:hanging="3687"/>
      <w:rPr>
        <w:rFonts w:cs="Arial"/>
        <w:noProof/>
        <w:sz w:val="32"/>
        <w:szCs w:val="32"/>
      </w:rPr>
    </w:pPr>
    <w:r w:rsidRPr="00F33D02">
      <w:rPr>
        <w:rFonts w:cs="Arial"/>
        <w:noProof/>
        <w:sz w:val="32"/>
        <w:szCs w:val="32"/>
      </w:rPr>
      <w:drawing>
        <wp:anchor distT="0" distB="0" distL="114300" distR="114300" simplePos="0" relativeHeight="251660288" behindDoc="0" locked="0" layoutInCell="1" allowOverlap="1" wp14:anchorId="235F7D6D" wp14:editId="5EE5F8B4">
          <wp:simplePos x="0" y="0"/>
          <wp:positionH relativeFrom="column">
            <wp:posOffset>-1180926</wp:posOffset>
          </wp:positionH>
          <wp:positionV relativeFrom="paragraph">
            <wp:posOffset>-16701</wp:posOffset>
          </wp:positionV>
          <wp:extent cx="7556500" cy="149860"/>
          <wp:effectExtent l="0" t="0" r="6350" b="2540"/>
          <wp:wrapNone/>
          <wp:docPr id="6" name="Picture 5">
            <a:extLst xmlns:a="http://schemas.openxmlformats.org/drawingml/2006/main">
              <a:ext uri="{FF2B5EF4-FFF2-40B4-BE49-F238E27FC236}">
                <a16:creationId xmlns:a16="http://schemas.microsoft.com/office/drawing/2014/main" id="{CDB2F976-E38F-4217-B4FA-152B5DC7F7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DB2F976-E38F-4217-B4FA-152B5DC7F7D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09123" cy="154870"/>
                  </a:xfrm>
                  <a:prstGeom prst="rect">
                    <a:avLst/>
                  </a:prstGeom>
                </pic:spPr>
              </pic:pic>
            </a:graphicData>
          </a:graphic>
          <wp14:sizeRelH relativeFrom="margin">
            <wp14:pctWidth>0</wp14:pctWidth>
          </wp14:sizeRelH>
          <wp14:sizeRelV relativeFrom="margin">
            <wp14:pctHeight>0</wp14:pctHeight>
          </wp14:sizeRelV>
        </wp:anchor>
      </w:drawing>
    </w:r>
  </w:p>
  <w:p w14:paraId="114F83B5" w14:textId="260529D1" w:rsidR="00F33D02" w:rsidRDefault="00F33D02" w:rsidP="00E726A5">
    <w:pPr>
      <w:pStyle w:val="Header"/>
      <w:widowControl w:val="0"/>
      <w:ind w:left="2127" w:hanging="3687"/>
      <w:rPr>
        <w:rFonts w:cs="Arial"/>
        <w:noProof/>
        <w:sz w:val="32"/>
        <w:szCs w:val="32"/>
      </w:rPr>
    </w:pPr>
    <w:r w:rsidRPr="00F33D02">
      <w:rPr>
        <w:rFonts w:cs="Arial"/>
        <w:noProof/>
        <w:sz w:val="32"/>
        <w:szCs w:val="32"/>
      </w:rPr>
      <w:drawing>
        <wp:anchor distT="0" distB="0" distL="114300" distR="114300" simplePos="0" relativeHeight="251659264" behindDoc="0" locked="0" layoutInCell="1" allowOverlap="1" wp14:anchorId="2E2322A0" wp14:editId="601F262C">
          <wp:simplePos x="0" y="0"/>
          <wp:positionH relativeFrom="column">
            <wp:posOffset>5619793</wp:posOffset>
          </wp:positionH>
          <wp:positionV relativeFrom="paragraph">
            <wp:posOffset>158297</wp:posOffset>
          </wp:positionV>
          <wp:extent cx="392273" cy="448256"/>
          <wp:effectExtent l="0" t="0" r="8255" b="9525"/>
          <wp:wrapNone/>
          <wp:docPr id="10" name="Picture 7" descr="A picture containing vector graphics&#10;&#10;Description automatically generated">
            <a:extLst xmlns:a="http://schemas.openxmlformats.org/drawingml/2006/main">
              <a:ext uri="{FF2B5EF4-FFF2-40B4-BE49-F238E27FC236}">
                <a16:creationId xmlns:a16="http://schemas.microsoft.com/office/drawing/2014/main" id="{183C5674-0BA6-4C23-8682-E4A6AE220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vector graphics&#10;&#10;Description automatically generated">
                    <a:extLst>
                      <a:ext uri="{FF2B5EF4-FFF2-40B4-BE49-F238E27FC236}">
                        <a16:creationId xmlns:a16="http://schemas.microsoft.com/office/drawing/2014/main" id="{183C5674-0BA6-4C23-8682-E4A6AE220EF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92273" cy="448256"/>
                  </a:xfrm>
                  <a:prstGeom prst="rect">
                    <a:avLst/>
                  </a:prstGeom>
                </pic:spPr>
              </pic:pic>
            </a:graphicData>
          </a:graphic>
          <wp14:sizeRelH relativeFrom="margin">
            <wp14:pctWidth>0</wp14:pctWidth>
          </wp14:sizeRelH>
          <wp14:sizeRelV relativeFrom="margin">
            <wp14:pctHeight>0</wp14:pctHeight>
          </wp14:sizeRelV>
        </wp:anchor>
      </w:drawing>
    </w:r>
    <w:r w:rsidR="00E726A5">
      <w:rPr>
        <w:rFonts w:cs="Arial"/>
        <w:noProof/>
        <w:sz w:val="32"/>
        <w:szCs w:val="32"/>
      </w:rPr>
      <w:t xml:space="preserve"> </w:t>
    </w:r>
  </w:p>
  <w:p w14:paraId="351F2516" w14:textId="1DB1BD68" w:rsidR="00F734FD" w:rsidRPr="00E726A5" w:rsidRDefault="00265542" w:rsidP="00774367">
    <w:pPr>
      <w:pStyle w:val="Header"/>
      <w:widowControl w:val="0"/>
      <w:ind w:left="2127" w:hanging="2864"/>
      <w:rPr>
        <w:rFonts w:cs="Arial"/>
        <w:noProof/>
        <w:sz w:val="32"/>
        <w:szCs w:val="32"/>
      </w:rPr>
    </w:pPr>
    <w:r w:rsidRPr="002737BD">
      <w:rPr>
        <w:rFonts w:cs="Arial"/>
        <w:noProof/>
        <w:sz w:val="32"/>
        <w:szCs w:val="32"/>
      </w:rPr>
      <w:t>Our Customer Terms</w:t>
    </w:r>
    <w:r w:rsidRPr="002737BD">
      <w:rPr>
        <w:rFonts w:cs="Arial"/>
        <w:noProof/>
        <w:sz w:val="32"/>
        <w:szCs w:val="32"/>
      </w:rPr>
      <w:tab/>
    </w:r>
  </w:p>
  <w:p w14:paraId="769C044A" w14:textId="07C4ADCC" w:rsidR="00265542" w:rsidRPr="00F734FD" w:rsidRDefault="00071638" w:rsidP="00774367">
    <w:pPr>
      <w:pStyle w:val="Header"/>
      <w:widowControl w:val="0"/>
      <w:ind w:left="2127" w:hanging="2864"/>
      <w:rPr>
        <w:rFonts w:ascii="Verdana" w:hAnsi="Verdana" w:cs="Arial"/>
        <w:noProof/>
        <w:sz w:val="28"/>
        <w:szCs w:val="28"/>
      </w:rPr>
    </w:pPr>
    <w:r>
      <w:rPr>
        <w:rFonts w:cs="Arial"/>
        <w:noProof/>
        <w:sz w:val="32"/>
        <w:szCs w:val="32"/>
      </w:rPr>
      <w:t>Telstra Mobile -</w:t>
    </w:r>
    <w:r w:rsidR="00EB5FAF">
      <w:rPr>
        <w:rFonts w:cs="Arial"/>
        <w:noProof/>
        <w:sz w:val="32"/>
        <w:szCs w:val="32"/>
      </w:rPr>
      <w:t xml:space="preserve"> Corporate Mobile Plus</w:t>
    </w:r>
  </w:p>
  <w:p w14:paraId="5A5D8C80" w14:textId="77777777" w:rsidR="00265542" w:rsidRPr="00BA0528" w:rsidRDefault="00265542" w:rsidP="00BA0528">
    <w:pPr>
      <w:pStyle w:val="Header"/>
      <w:widowControl w:val="0"/>
      <w:ind w:left="2127"/>
      <w:rPr>
        <w:rFonts w:ascii="Verdana" w:hAnsi="Verdana" w:cs="Arial"/>
        <w:noProof/>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B16F" w14:textId="77777777" w:rsidR="002D52AF" w:rsidRDefault="002D5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108D20D3"/>
    <w:multiLevelType w:val="hybridMultilevel"/>
    <w:tmpl w:val="2B8E5EC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16045140"/>
    <w:multiLevelType w:val="hybridMultilevel"/>
    <w:tmpl w:val="7684490E"/>
    <w:lvl w:ilvl="0" w:tplc="0AD60A34">
      <w:start w:val="1"/>
      <w:numFmt w:val="bullet"/>
      <w:lvlText w:val="•"/>
      <w:lvlJc w:val="left"/>
      <w:pPr>
        <w:tabs>
          <w:tab w:val="num" w:pos="720"/>
        </w:tabs>
        <w:ind w:left="720" w:hanging="360"/>
      </w:pPr>
      <w:rPr>
        <w:rFonts w:ascii="Arial" w:hAnsi="Arial" w:hint="default"/>
      </w:rPr>
    </w:lvl>
    <w:lvl w:ilvl="1" w:tplc="E02ECA80" w:tentative="1">
      <w:start w:val="1"/>
      <w:numFmt w:val="bullet"/>
      <w:lvlText w:val="•"/>
      <w:lvlJc w:val="left"/>
      <w:pPr>
        <w:tabs>
          <w:tab w:val="num" w:pos="1440"/>
        </w:tabs>
        <w:ind w:left="1440" w:hanging="360"/>
      </w:pPr>
      <w:rPr>
        <w:rFonts w:ascii="Arial" w:hAnsi="Arial" w:hint="default"/>
      </w:rPr>
    </w:lvl>
    <w:lvl w:ilvl="2" w:tplc="05E2180A" w:tentative="1">
      <w:start w:val="1"/>
      <w:numFmt w:val="bullet"/>
      <w:lvlText w:val="•"/>
      <w:lvlJc w:val="left"/>
      <w:pPr>
        <w:tabs>
          <w:tab w:val="num" w:pos="2160"/>
        </w:tabs>
        <w:ind w:left="2160" w:hanging="360"/>
      </w:pPr>
      <w:rPr>
        <w:rFonts w:ascii="Arial" w:hAnsi="Arial" w:hint="default"/>
      </w:rPr>
    </w:lvl>
    <w:lvl w:ilvl="3" w:tplc="8CF887A8" w:tentative="1">
      <w:start w:val="1"/>
      <w:numFmt w:val="bullet"/>
      <w:lvlText w:val="•"/>
      <w:lvlJc w:val="left"/>
      <w:pPr>
        <w:tabs>
          <w:tab w:val="num" w:pos="2880"/>
        </w:tabs>
        <w:ind w:left="2880" w:hanging="360"/>
      </w:pPr>
      <w:rPr>
        <w:rFonts w:ascii="Arial" w:hAnsi="Arial" w:hint="default"/>
      </w:rPr>
    </w:lvl>
    <w:lvl w:ilvl="4" w:tplc="A5D0A7F8" w:tentative="1">
      <w:start w:val="1"/>
      <w:numFmt w:val="bullet"/>
      <w:lvlText w:val="•"/>
      <w:lvlJc w:val="left"/>
      <w:pPr>
        <w:tabs>
          <w:tab w:val="num" w:pos="3600"/>
        </w:tabs>
        <w:ind w:left="3600" w:hanging="360"/>
      </w:pPr>
      <w:rPr>
        <w:rFonts w:ascii="Arial" w:hAnsi="Arial" w:hint="default"/>
      </w:rPr>
    </w:lvl>
    <w:lvl w:ilvl="5" w:tplc="636E07D0" w:tentative="1">
      <w:start w:val="1"/>
      <w:numFmt w:val="bullet"/>
      <w:lvlText w:val="•"/>
      <w:lvlJc w:val="left"/>
      <w:pPr>
        <w:tabs>
          <w:tab w:val="num" w:pos="4320"/>
        </w:tabs>
        <w:ind w:left="4320" w:hanging="360"/>
      </w:pPr>
      <w:rPr>
        <w:rFonts w:ascii="Arial" w:hAnsi="Arial" w:hint="default"/>
      </w:rPr>
    </w:lvl>
    <w:lvl w:ilvl="6" w:tplc="105CF12A" w:tentative="1">
      <w:start w:val="1"/>
      <w:numFmt w:val="bullet"/>
      <w:lvlText w:val="•"/>
      <w:lvlJc w:val="left"/>
      <w:pPr>
        <w:tabs>
          <w:tab w:val="num" w:pos="5040"/>
        </w:tabs>
        <w:ind w:left="5040" w:hanging="360"/>
      </w:pPr>
      <w:rPr>
        <w:rFonts w:ascii="Arial" w:hAnsi="Arial" w:hint="default"/>
      </w:rPr>
    </w:lvl>
    <w:lvl w:ilvl="7" w:tplc="A0C2D68E" w:tentative="1">
      <w:start w:val="1"/>
      <w:numFmt w:val="bullet"/>
      <w:lvlText w:val="•"/>
      <w:lvlJc w:val="left"/>
      <w:pPr>
        <w:tabs>
          <w:tab w:val="num" w:pos="5760"/>
        </w:tabs>
        <w:ind w:left="5760" w:hanging="360"/>
      </w:pPr>
      <w:rPr>
        <w:rFonts w:ascii="Arial" w:hAnsi="Arial" w:hint="default"/>
      </w:rPr>
    </w:lvl>
    <w:lvl w:ilvl="8" w:tplc="B57A8E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C4625A"/>
    <w:multiLevelType w:val="hybridMultilevel"/>
    <w:tmpl w:val="C608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9602EC6"/>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51FB3F2D"/>
    <w:multiLevelType w:val="multilevel"/>
    <w:tmpl w:val="5A8296B8"/>
    <w:lvl w:ilvl="0">
      <w:start w:val="1"/>
      <w:numFmt w:val="decimal"/>
      <w:lvlText w:val="%1"/>
      <w:lvlJc w:val="left"/>
      <w:pPr>
        <w:tabs>
          <w:tab w:val="num" w:pos="737"/>
        </w:tabs>
        <w:ind w:left="737" w:hanging="737"/>
      </w:pPr>
      <w:rPr>
        <w:rFonts w:ascii="Verdana" w:hAnsi="Verdana" w:hint="default"/>
        <w:b/>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9"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10" w15:restartNumberingAfterBreak="0">
    <w:nsid w:val="67156F5B"/>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1"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2" w15:restartNumberingAfterBreak="0">
    <w:nsid w:val="7FBA53B3"/>
    <w:multiLevelType w:val="multilevel"/>
    <w:tmpl w:val="420666D4"/>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sz w:val="21"/>
        <w:szCs w:val="21"/>
      </w:rPr>
    </w:lvl>
    <w:lvl w:ilvl="2">
      <w:start w:val="1"/>
      <w:numFmt w:val="lowerLetter"/>
      <w:pStyle w:val="Heading3"/>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3" w15:restartNumberingAfterBreak="0">
    <w:nsid w:val="7FF06794"/>
    <w:multiLevelType w:val="hybridMultilevel"/>
    <w:tmpl w:val="0F42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0112853">
    <w:abstractNumId w:val="11"/>
  </w:num>
  <w:num w:numId="2" w16cid:durableId="140579987">
    <w:abstractNumId w:val="9"/>
  </w:num>
  <w:num w:numId="3" w16cid:durableId="328795316">
    <w:abstractNumId w:val="6"/>
  </w:num>
  <w:num w:numId="4" w16cid:durableId="872813317">
    <w:abstractNumId w:val="0"/>
  </w:num>
  <w:num w:numId="5" w16cid:durableId="970938398">
    <w:abstractNumId w:val="2"/>
  </w:num>
  <w:num w:numId="6" w16cid:durableId="1689873418">
    <w:abstractNumId w:val="1"/>
  </w:num>
  <w:num w:numId="7" w16cid:durableId="1975718021">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4527608">
    <w:abstractNumId w:val="5"/>
  </w:num>
  <w:num w:numId="9" w16cid:durableId="424427045">
    <w:abstractNumId w:val="13"/>
  </w:num>
  <w:num w:numId="10" w16cid:durableId="327558182">
    <w:abstractNumId w:val="8"/>
  </w:num>
  <w:num w:numId="11" w16cid:durableId="792555589">
    <w:abstractNumId w:val="10"/>
  </w:num>
  <w:num w:numId="12" w16cid:durableId="300353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7863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09819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9887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6285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4195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5028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54372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8770590">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1372385">
    <w:abstractNumId w:val="3"/>
  </w:num>
  <w:num w:numId="22" w16cid:durableId="1563296109">
    <w:abstractNumId w:val="12"/>
  </w:num>
  <w:num w:numId="23" w16cid:durableId="1844316691">
    <w:abstractNumId w:val="4"/>
  </w:num>
  <w:num w:numId="24" w16cid:durableId="1956019760">
    <w:abstractNumId w:val="12"/>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3406918">
    <w:abstractNumId w:val="7"/>
  </w:num>
  <w:num w:numId="26" w16cid:durableId="208341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63607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2A29"/>
    <w:rsid w:val="00002E14"/>
    <w:rsid w:val="000036C2"/>
    <w:rsid w:val="000036C4"/>
    <w:rsid w:val="000040D8"/>
    <w:rsid w:val="000053AC"/>
    <w:rsid w:val="00007705"/>
    <w:rsid w:val="00012387"/>
    <w:rsid w:val="000133C4"/>
    <w:rsid w:val="00013563"/>
    <w:rsid w:val="000138AA"/>
    <w:rsid w:val="00014F05"/>
    <w:rsid w:val="00014F4B"/>
    <w:rsid w:val="000153D9"/>
    <w:rsid w:val="000173E8"/>
    <w:rsid w:val="00020590"/>
    <w:rsid w:val="00021517"/>
    <w:rsid w:val="0002426C"/>
    <w:rsid w:val="000244A7"/>
    <w:rsid w:val="00024F3D"/>
    <w:rsid w:val="000257AF"/>
    <w:rsid w:val="0002731E"/>
    <w:rsid w:val="000307B2"/>
    <w:rsid w:val="00032026"/>
    <w:rsid w:val="0003284E"/>
    <w:rsid w:val="00033093"/>
    <w:rsid w:val="000332C3"/>
    <w:rsid w:val="00033723"/>
    <w:rsid w:val="00034895"/>
    <w:rsid w:val="00036E6D"/>
    <w:rsid w:val="0003764F"/>
    <w:rsid w:val="000377BA"/>
    <w:rsid w:val="00037EC7"/>
    <w:rsid w:val="0004072E"/>
    <w:rsid w:val="00041306"/>
    <w:rsid w:val="000417F0"/>
    <w:rsid w:val="00041FB7"/>
    <w:rsid w:val="00042FE6"/>
    <w:rsid w:val="00043548"/>
    <w:rsid w:val="00044050"/>
    <w:rsid w:val="000445B5"/>
    <w:rsid w:val="000452A6"/>
    <w:rsid w:val="0004560B"/>
    <w:rsid w:val="00045AC3"/>
    <w:rsid w:val="00045DB4"/>
    <w:rsid w:val="000469C0"/>
    <w:rsid w:val="00046E90"/>
    <w:rsid w:val="000470E4"/>
    <w:rsid w:val="00047944"/>
    <w:rsid w:val="00047B4A"/>
    <w:rsid w:val="000511C8"/>
    <w:rsid w:val="00053528"/>
    <w:rsid w:val="00054874"/>
    <w:rsid w:val="00054DE5"/>
    <w:rsid w:val="00056395"/>
    <w:rsid w:val="00057680"/>
    <w:rsid w:val="00057FCE"/>
    <w:rsid w:val="00060D9C"/>
    <w:rsid w:val="00061294"/>
    <w:rsid w:val="00061D38"/>
    <w:rsid w:val="000627C8"/>
    <w:rsid w:val="000638AF"/>
    <w:rsid w:val="00063B32"/>
    <w:rsid w:val="00065085"/>
    <w:rsid w:val="00066628"/>
    <w:rsid w:val="000668C4"/>
    <w:rsid w:val="00067FDF"/>
    <w:rsid w:val="000704D3"/>
    <w:rsid w:val="00071638"/>
    <w:rsid w:val="00072B13"/>
    <w:rsid w:val="00072BD5"/>
    <w:rsid w:val="00074C41"/>
    <w:rsid w:val="0007618B"/>
    <w:rsid w:val="0007690A"/>
    <w:rsid w:val="000778AD"/>
    <w:rsid w:val="0008015F"/>
    <w:rsid w:val="000806CB"/>
    <w:rsid w:val="00080D09"/>
    <w:rsid w:val="000817C3"/>
    <w:rsid w:val="0008243B"/>
    <w:rsid w:val="000827D3"/>
    <w:rsid w:val="00082DDC"/>
    <w:rsid w:val="000833BC"/>
    <w:rsid w:val="000838CC"/>
    <w:rsid w:val="00084111"/>
    <w:rsid w:val="000854C2"/>
    <w:rsid w:val="000856A0"/>
    <w:rsid w:val="00085C8B"/>
    <w:rsid w:val="00086309"/>
    <w:rsid w:val="00087385"/>
    <w:rsid w:val="00090E86"/>
    <w:rsid w:val="00092872"/>
    <w:rsid w:val="00092B10"/>
    <w:rsid w:val="00093255"/>
    <w:rsid w:val="00093ACE"/>
    <w:rsid w:val="00095757"/>
    <w:rsid w:val="00097455"/>
    <w:rsid w:val="000976F8"/>
    <w:rsid w:val="000A0C38"/>
    <w:rsid w:val="000A0DE4"/>
    <w:rsid w:val="000A1B2B"/>
    <w:rsid w:val="000A1C6D"/>
    <w:rsid w:val="000A21C9"/>
    <w:rsid w:val="000A2A66"/>
    <w:rsid w:val="000A3748"/>
    <w:rsid w:val="000A42C3"/>
    <w:rsid w:val="000A457E"/>
    <w:rsid w:val="000A4B45"/>
    <w:rsid w:val="000A59D5"/>
    <w:rsid w:val="000A6D53"/>
    <w:rsid w:val="000A7928"/>
    <w:rsid w:val="000B05FC"/>
    <w:rsid w:val="000B5971"/>
    <w:rsid w:val="000B6B7B"/>
    <w:rsid w:val="000B7482"/>
    <w:rsid w:val="000C0266"/>
    <w:rsid w:val="000C0334"/>
    <w:rsid w:val="000C0BE2"/>
    <w:rsid w:val="000C1782"/>
    <w:rsid w:val="000C2537"/>
    <w:rsid w:val="000C3C20"/>
    <w:rsid w:val="000C5296"/>
    <w:rsid w:val="000C5710"/>
    <w:rsid w:val="000D056A"/>
    <w:rsid w:val="000D0DB2"/>
    <w:rsid w:val="000D1381"/>
    <w:rsid w:val="000D1498"/>
    <w:rsid w:val="000D1EDF"/>
    <w:rsid w:val="000D4097"/>
    <w:rsid w:val="000D79AE"/>
    <w:rsid w:val="000E0919"/>
    <w:rsid w:val="000E1158"/>
    <w:rsid w:val="000E1362"/>
    <w:rsid w:val="000E1ECE"/>
    <w:rsid w:val="000E25E6"/>
    <w:rsid w:val="000E3FF1"/>
    <w:rsid w:val="000E534A"/>
    <w:rsid w:val="000E5A6A"/>
    <w:rsid w:val="000E65A7"/>
    <w:rsid w:val="000E738F"/>
    <w:rsid w:val="000F04CB"/>
    <w:rsid w:val="000F0E42"/>
    <w:rsid w:val="000F216C"/>
    <w:rsid w:val="000F286A"/>
    <w:rsid w:val="000F317A"/>
    <w:rsid w:val="000F6149"/>
    <w:rsid w:val="000F6661"/>
    <w:rsid w:val="000F6A52"/>
    <w:rsid w:val="001000E9"/>
    <w:rsid w:val="0010060C"/>
    <w:rsid w:val="00100CE6"/>
    <w:rsid w:val="00102330"/>
    <w:rsid w:val="00102D61"/>
    <w:rsid w:val="00103A09"/>
    <w:rsid w:val="00104B2F"/>
    <w:rsid w:val="00105135"/>
    <w:rsid w:val="00105261"/>
    <w:rsid w:val="00105288"/>
    <w:rsid w:val="001071A7"/>
    <w:rsid w:val="00107609"/>
    <w:rsid w:val="00107A02"/>
    <w:rsid w:val="0011004E"/>
    <w:rsid w:val="00110EFF"/>
    <w:rsid w:val="00111474"/>
    <w:rsid w:val="0011282F"/>
    <w:rsid w:val="00112CE5"/>
    <w:rsid w:val="00113AEB"/>
    <w:rsid w:val="00113DDE"/>
    <w:rsid w:val="00114627"/>
    <w:rsid w:val="00114DFA"/>
    <w:rsid w:val="001157A9"/>
    <w:rsid w:val="00116157"/>
    <w:rsid w:val="00116C2D"/>
    <w:rsid w:val="00123B9E"/>
    <w:rsid w:val="001244EF"/>
    <w:rsid w:val="001249DD"/>
    <w:rsid w:val="001257C2"/>
    <w:rsid w:val="00125D20"/>
    <w:rsid w:val="00126E2A"/>
    <w:rsid w:val="00127503"/>
    <w:rsid w:val="00127A04"/>
    <w:rsid w:val="00130D5C"/>
    <w:rsid w:val="00130E43"/>
    <w:rsid w:val="001318A7"/>
    <w:rsid w:val="00131F2E"/>
    <w:rsid w:val="0013457F"/>
    <w:rsid w:val="0013680B"/>
    <w:rsid w:val="00136C44"/>
    <w:rsid w:val="0013713C"/>
    <w:rsid w:val="00140B32"/>
    <w:rsid w:val="00140C94"/>
    <w:rsid w:val="001424A3"/>
    <w:rsid w:val="00142DCD"/>
    <w:rsid w:val="001432C8"/>
    <w:rsid w:val="001444B3"/>
    <w:rsid w:val="001449E0"/>
    <w:rsid w:val="00145657"/>
    <w:rsid w:val="00145700"/>
    <w:rsid w:val="00146FBB"/>
    <w:rsid w:val="0015030E"/>
    <w:rsid w:val="00151AD0"/>
    <w:rsid w:val="00152F28"/>
    <w:rsid w:val="001535C0"/>
    <w:rsid w:val="001535E5"/>
    <w:rsid w:val="00153E1A"/>
    <w:rsid w:val="0015482A"/>
    <w:rsid w:val="0015681A"/>
    <w:rsid w:val="00156DA3"/>
    <w:rsid w:val="00160206"/>
    <w:rsid w:val="001603F2"/>
    <w:rsid w:val="00161B72"/>
    <w:rsid w:val="00161BE7"/>
    <w:rsid w:val="001620BB"/>
    <w:rsid w:val="00163CBE"/>
    <w:rsid w:val="00163F44"/>
    <w:rsid w:val="00164E16"/>
    <w:rsid w:val="00164F97"/>
    <w:rsid w:val="00165EB6"/>
    <w:rsid w:val="0016763A"/>
    <w:rsid w:val="00170160"/>
    <w:rsid w:val="0017143E"/>
    <w:rsid w:val="00171702"/>
    <w:rsid w:val="00172BEB"/>
    <w:rsid w:val="00172C15"/>
    <w:rsid w:val="0017365B"/>
    <w:rsid w:val="00173CA2"/>
    <w:rsid w:val="0017404A"/>
    <w:rsid w:val="00175580"/>
    <w:rsid w:val="001771C3"/>
    <w:rsid w:val="001778F7"/>
    <w:rsid w:val="00177AD3"/>
    <w:rsid w:val="001832DF"/>
    <w:rsid w:val="00185627"/>
    <w:rsid w:val="001859C3"/>
    <w:rsid w:val="00185CC6"/>
    <w:rsid w:val="00185E55"/>
    <w:rsid w:val="00185EBB"/>
    <w:rsid w:val="00186590"/>
    <w:rsid w:val="001877A6"/>
    <w:rsid w:val="0018781E"/>
    <w:rsid w:val="00187D7C"/>
    <w:rsid w:val="00187F20"/>
    <w:rsid w:val="00190222"/>
    <w:rsid w:val="0019183F"/>
    <w:rsid w:val="00191AFB"/>
    <w:rsid w:val="001923CE"/>
    <w:rsid w:val="001931AB"/>
    <w:rsid w:val="00193E0B"/>
    <w:rsid w:val="0019552A"/>
    <w:rsid w:val="00195B9E"/>
    <w:rsid w:val="00195D82"/>
    <w:rsid w:val="00196374"/>
    <w:rsid w:val="0019643C"/>
    <w:rsid w:val="00196467"/>
    <w:rsid w:val="001A353C"/>
    <w:rsid w:val="001A4222"/>
    <w:rsid w:val="001A5FD5"/>
    <w:rsid w:val="001A7872"/>
    <w:rsid w:val="001B03B0"/>
    <w:rsid w:val="001B288E"/>
    <w:rsid w:val="001B380F"/>
    <w:rsid w:val="001B44F3"/>
    <w:rsid w:val="001B65A6"/>
    <w:rsid w:val="001B785F"/>
    <w:rsid w:val="001C1362"/>
    <w:rsid w:val="001C14E4"/>
    <w:rsid w:val="001C251B"/>
    <w:rsid w:val="001C2908"/>
    <w:rsid w:val="001C2EA4"/>
    <w:rsid w:val="001C3202"/>
    <w:rsid w:val="001C4D43"/>
    <w:rsid w:val="001C5897"/>
    <w:rsid w:val="001C5CAC"/>
    <w:rsid w:val="001C5D0C"/>
    <w:rsid w:val="001C75A9"/>
    <w:rsid w:val="001C7E9C"/>
    <w:rsid w:val="001D01C2"/>
    <w:rsid w:val="001D1317"/>
    <w:rsid w:val="001D17A5"/>
    <w:rsid w:val="001D31F9"/>
    <w:rsid w:val="001D6B39"/>
    <w:rsid w:val="001E0866"/>
    <w:rsid w:val="001E0886"/>
    <w:rsid w:val="001E332A"/>
    <w:rsid w:val="001E428E"/>
    <w:rsid w:val="001E4363"/>
    <w:rsid w:val="001E5EC8"/>
    <w:rsid w:val="001E627B"/>
    <w:rsid w:val="001E74C9"/>
    <w:rsid w:val="001E78A9"/>
    <w:rsid w:val="001F0698"/>
    <w:rsid w:val="001F0C24"/>
    <w:rsid w:val="001F0D8E"/>
    <w:rsid w:val="001F15EE"/>
    <w:rsid w:val="001F2E7E"/>
    <w:rsid w:val="001F347B"/>
    <w:rsid w:val="001F3D4E"/>
    <w:rsid w:val="001F5727"/>
    <w:rsid w:val="00200061"/>
    <w:rsid w:val="0020054D"/>
    <w:rsid w:val="0020113F"/>
    <w:rsid w:val="002013BF"/>
    <w:rsid w:val="00201582"/>
    <w:rsid w:val="002044DD"/>
    <w:rsid w:val="0020603F"/>
    <w:rsid w:val="00206FC7"/>
    <w:rsid w:val="0021036E"/>
    <w:rsid w:val="0021198B"/>
    <w:rsid w:val="002125C3"/>
    <w:rsid w:val="002128D5"/>
    <w:rsid w:val="00212B7A"/>
    <w:rsid w:val="00212D5B"/>
    <w:rsid w:val="00213D07"/>
    <w:rsid w:val="0021418F"/>
    <w:rsid w:val="0021597A"/>
    <w:rsid w:val="00216048"/>
    <w:rsid w:val="002167FB"/>
    <w:rsid w:val="00217141"/>
    <w:rsid w:val="002173C5"/>
    <w:rsid w:val="00217665"/>
    <w:rsid w:val="00221247"/>
    <w:rsid w:val="0022144B"/>
    <w:rsid w:val="0022259D"/>
    <w:rsid w:val="00223256"/>
    <w:rsid w:val="002232D1"/>
    <w:rsid w:val="00224310"/>
    <w:rsid w:val="002252DF"/>
    <w:rsid w:val="002265C3"/>
    <w:rsid w:val="00226788"/>
    <w:rsid w:val="00227BCC"/>
    <w:rsid w:val="0023016E"/>
    <w:rsid w:val="0023084A"/>
    <w:rsid w:val="0023086F"/>
    <w:rsid w:val="002309F2"/>
    <w:rsid w:val="00230E99"/>
    <w:rsid w:val="00233756"/>
    <w:rsid w:val="00234D62"/>
    <w:rsid w:val="00235620"/>
    <w:rsid w:val="00236BE5"/>
    <w:rsid w:val="0023775E"/>
    <w:rsid w:val="0024340D"/>
    <w:rsid w:val="00243AAC"/>
    <w:rsid w:val="002441F5"/>
    <w:rsid w:val="00244323"/>
    <w:rsid w:val="00247194"/>
    <w:rsid w:val="00247DD9"/>
    <w:rsid w:val="00247F06"/>
    <w:rsid w:val="00251D33"/>
    <w:rsid w:val="00251D63"/>
    <w:rsid w:val="0025423F"/>
    <w:rsid w:val="00254F79"/>
    <w:rsid w:val="002551FE"/>
    <w:rsid w:val="002557A4"/>
    <w:rsid w:val="00255E71"/>
    <w:rsid w:val="00256043"/>
    <w:rsid w:val="00256B11"/>
    <w:rsid w:val="00257384"/>
    <w:rsid w:val="0026098A"/>
    <w:rsid w:val="00260C1F"/>
    <w:rsid w:val="00262373"/>
    <w:rsid w:val="002638B9"/>
    <w:rsid w:val="00263EE2"/>
    <w:rsid w:val="0026485A"/>
    <w:rsid w:val="00265542"/>
    <w:rsid w:val="002655C1"/>
    <w:rsid w:val="00266958"/>
    <w:rsid w:val="002674B9"/>
    <w:rsid w:val="00270B61"/>
    <w:rsid w:val="00270D11"/>
    <w:rsid w:val="00271325"/>
    <w:rsid w:val="0027139C"/>
    <w:rsid w:val="00272C8B"/>
    <w:rsid w:val="002737BD"/>
    <w:rsid w:val="00273CB4"/>
    <w:rsid w:val="00275A1A"/>
    <w:rsid w:val="0027607A"/>
    <w:rsid w:val="00276E82"/>
    <w:rsid w:val="00281167"/>
    <w:rsid w:val="00281489"/>
    <w:rsid w:val="00282A1F"/>
    <w:rsid w:val="002837DF"/>
    <w:rsid w:val="00283EA1"/>
    <w:rsid w:val="00284920"/>
    <w:rsid w:val="00285FC3"/>
    <w:rsid w:val="00287690"/>
    <w:rsid w:val="002877F8"/>
    <w:rsid w:val="00287AB9"/>
    <w:rsid w:val="00287D7C"/>
    <w:rsid w:val="0029025F"/>
    <w:rsid w:val="00290E47"/>
    <w:rsid w:val="00291535"/>
    <w:rsid w:val="002915F9"/>
    <w:rsid w:val="00294601"/>
    <w:rsid w:val="002959D9"/>
    <w:rsid w:val="00295E43"/>
    <w:rsid w:val="00297E31"/>
    <w:rsid w:val="002A197A"/>
    <w:rsid w:val="002A1EC6"/>
    <w:rsid w:val="002A3E59"/>
    <w:rsid w:val="002A5C1D"/>
    <w:rsid w:val="002A60CC"/>
    <w:rsid w:val="002A60FF"/>
    <w:rsid w:val="002A6333"/>
    <w:rsid w:val="002A6B8C"/>
    <w:rsid w:val="002A6F88"/>
    <w:rsid w:val="002B0A2A"/>
    <w:rsid w:val="002B101C"/>
    <w:rsid w:val="002B2C5E"/>
    <w:rsid w:val="002B3DB4"/>
    <w:rsid w:val="002B4CC9"/>
    <w:rsid w:val="002B4E43"/>
    <w:rsid w:val="002B5F54"/>
    <w:rsid w:val="002B67EA"/>
    <w:rsid w:val="002B69E1"/>
    <w:rsid w:val="002B6D34"/>
    <w:rsid w:val="002B7323"/>
    <w:rsid w:val="002C04F1"/>
    <w:rsid w:val="002C354E"/>
    <w:rsid w:val="002C6016"/>
    <w:rsid w:val="002C6B68"/>
    <w:rsid w:val="002C729F"/>
    <w:rsid w:val="002C796F"/>
    <w:rsid w:val="002C7B31"/>
    <w:rsid w:val="002D035E"/>
    <w:rsid w:val="002D109E"/>
    <w:rsid w:val="002D1C6F"/>
    <w:rsid w:val="002D21BC"/>
    <w:rsid w:val="002D2E39"/>
    <w:rsid w:val="002D3281"/>
    <w:rsid w:val="002D37E6"/>
    <w:rsid w:val="002D4F23"/>
    <w:rsid w:val="002D52AF"/>
    <w:rsid w:val="002D7161"/>
    <w:rsid w:val="002D73F1"/>
    <w:rsid w:val="002D75B0"/>
    <w:rsid w:val="002E09CA"/>
    <w:rsid w:val="002E0DAA"/>
    <w:rsid w:val="002E1E4D"/>
    <w:rsid w:val="002E3070"/>
    <w:rsid w:val="002E311D"/>
    <w:rsid w:val="002E6919"/>
    <w:rsid w:val="002E700D"/>
    <w:rsid w:val="002F11A6"/>
    <w:rsid w:val="002F1505"/>
    <w:rsid w:val="002F32E5"/>
    <w:rsid w:val="002F3D90"/>
    <w:rsid w:val="002F4B88"/>
    <w:rsid w:val="002F6081"/>
    <w:rsid w:val="002F61D0"/>
    <w:rsid w:val="002F6745"/>
    <w:rsid w:val="002F6B4D"/>
    <w:rsid w:val="002F6BE1"/>
    <w:rsid w:val="002F7260"/>
    <w:rsid w:val="002F7DFE"/>
    <w:rsid w:val="002F7EF8"/>
    <w:rsid w:val="00300C1A"/>
    <w:rsid w:val="00302478"/>
    <w:rsid w:val="00302599"/>
    <w:rsid w:val="00303744"/>
    <w:rsid w:val="00303F35"/>
    <w:rsid w:val="003043DB"/>
    <w:rsid w:val="0030659A"/>
    <w:rsid w:val="00306AE5"/>
    <w:rsid w:val="0030775C"/>
    <w:rsid w:val="00310808"/>
    <w:rsid w:val="003116B2"/>
    <w:rsid w:val="00312C23"/>
    <w:rsid w:val="00316E7A"/>
    <w:rsid w:val="0031733F"/>
    <w:rsid w:val="0031751B"/>
    <w:rsid w:val="00317C87"/>
    <w:rsid w:val="00321DC3"/>
    <w:rsid w:val="00322E1E"/>
    <w:rsid w:val="003234E8"/>
    <w:rsid w:val="00323BE6"/>
    <w:rsid w:val="00323C41"/>
    <w:rsid w:val="003241A5"/>
    <w:rsid w:val="00324302"/>
    <w:rsid w:val="0032546F"/>
    <w:rsid w:val="003258C2"/>
    <w:rsid w:val="00327485"/>
    <w:rsid w:val="003275C6"/>
    <w:rsid w:val="003302AF"/>
    <w:rsid w:val="00331081"/>
    <w:rsid w:val="00331E3E"/>
    <w:rsid w:val="00332412"/>
    <w:rsid w:val="0033251F"/>
    <w:rsid w:val="003360DA"/>
    <w:rsid w:val="0033687A"/>
    <w:rsid w:val="00336A69"/>
    <w:rsid w:val="00336B8D"/>
    <w:rsid w:val="0033733C"/>
    <w:rsid w:val="00340CC8"/>
    <w:rsid w:val="0034113B"/>
    <w:rsid w:val="003416AE"/>
    <w:rsid w:val="003416F5"/>
    <w:rsid w:val="00341B4B"/>
    <w:rsid w:val="00341DD7"/>
    <w:rsid w:val="0034305F"/>
    <w:rsid w:val="0034361B"/>
    <w:rsid w:val="00343B34"/>
    <w:rsid w:val="00345CB4"/>
    <w:rsid w:val="00345FFD"/>
    <w:rsid w:val="00346722"/>
    <w:rsid w:val="00347F1F"/>
    <w:rsid w:val="00350A44"/>
    <w:rsid w:val="0035196F"/>
    <w:rsid w:val="00354752"/>
    <w:rsid w:val="0035557E"/>
    <w:rsid w:val="00357070"/>
    <w:rsid w:val="00360F71"/>
    <w:rsid w:val="00361CA3"/>
    <w:rsid w:val="00365366"/>
    <w:rsid w:val="00365D84"/>
    <w:rsid w:val="00367671"/>
    <w:rsid w:val="00370094"/>
    <w:rsid w:val="00370F91"/>
    <w:rsid w:val="003712D4"/>
    <w:rsid w:val="00372914"/>
    <w:rsid w:val="003742C0"/>
    <w:rsid w:val="003756BE"/>
    <w:rsid w:val="00375862"/>
    <w:rsid w:val="00375B07"/>
    <w:rsid w:val="00376D33"/>
    <w:rsid w:val="00381950"/>
    <w:rsid w:val="00382248"/>
    <w:rsid w:val="003839CE"/>
    <w:rsid w:val="00384C2A"/>
    <w:rsid w:val="00384E22"/>
    <w:rsid w:val="003866DD"/>
    <w:rsid w:val="00386EAB"/>
    <w:rsid w:val="003870E5"/>
    <w:rsid w:val="0038710D"/>
    <w:rsid w:val="003874B0"/>
    <w:rsid w:val="003904A1"/>
    <w:rsid w:val="0039065F"/>
    <w:rsid w:val="00390CE3"/>
    <w:rsid w:val="00391B3A"/>
    <w:rsid w:val="0039215B"/>
    <w:rsid w:val="00392EF9"/>
    <w:rsid w:val="00393187"/>
    <w:rsid w:val="00394FF4"/>
    <w:rsid w:val="003953FA"/>
    <w:rsid w:val="00396A7A"/>
    <w:rsid w:val="0039761C"/>
    <w:rsid w:val="003A03C0"/>
    <w:rsid w:val="003A1224"/>
    <w:rsid w:val="003A1630"/>
    <w:rsid w:val="003A1FE5"/>
    <w:rsid w:val="003A3080"/>
    <w:rsid w:val="003A3B0F"/>
    <w:rsid w:val="003A49DB"/>
    <w:rsid w:val="003A7D36"/>
    <w:rsid w:val="003B1084"/>
    <w:rsid w:val="003B1734"/>
    <w:rsid w:val="003B221C"/>
    <w:rsid w:val="003B32CD"/>
    <w:rsid w:val="003B3DE1"/>
    <w:rsid w:val="003B3F69"/>
    <w:rsid w:val="003B775B"/>
    <w:rsid w:val="003B79BF"/>
    <w:rsid w:val="003C01FD"/>
    <w:rsid w:val="003C032C"/>
    <w:rsid w:val="003C4CBA"/>
    <w:rsid w:val="003C5774"/>
    <w:rsid w:val="003C693B"/>
    <w:rsid w:val="003C70E5"/>
    <w:rsid w:val="003C7C68"/>
    <w:rsid w:val="003D21BF"/>
    <w:rsid w:val="003D2C6B"/>
    <w:rsid w:val="003D340A"/>
    <w:rsid w:val="003D3470"/>
    <w:rsid w:val="003D4ED9"/>
    <w:rsid w:val="003D63BA"/>
    <w:rsid w:val="003E02D0"/>
    <w:rsid w:val="003E03F1"/>
    <w:rsid w:val="003E088E"/>
    <w:rsid w:val="003E09A7"/>
    <w:rsid w:val="003E0C8C"/>
    <w:rsid w:val="003E257E"/>
    <w:rsid w:val="003E3E7E"/>
    <w:rsid w:val="003E41C6"/>
    <w:rsid w:val="003E5EE1"/>
    <w:rsid w:val="003E7034"/>
    <w:rsid w:val="003F00F5"/>
    <w:rsid w:val="003F0285"/>
    <w:rsid w:val="003F02C4"/>
    <w:rsid w:val="003F066A"/>
    <w:rsid w:val="003F0EDF"/>
    <w:rsid w:val="003F2367"/>
    <w:rsid w:val="003F29A5"/>
    <w:rsid w:val="003F3E71"/>
    <w:rsid w:val="003F6222"/>
    <w:rsid w:val="003F6A27"/>
    <w:rsid w:val="0040159D"/>
    <w:rsid w:val="00401614"/>
    <w:rsid w:val="0040535F"/>
    <w:rsid w:val="0040548F"/>
    <w:rsid w:val="00405668"/>
    <w:rsid w:val="00405C48"/>
    <w:rsid w:val="00406045"/>
    <w:rsid w:val="004065D9"/>
    <w:rsid w:val="00406BAD"/>
    <w:rsid w:val="00407269"/>
    <w:rsid w:val="004077DE"/>
    <w:rsid w:val="00407CE1"/>
    <w:rsid w:val="00410489"/>
    <w:rsid w:val="0041054E"/>
    <w:rsid w:val="0041057E"/>
    <w:rsid w:val="00411A6D"/>
    <w:rsid w:val="00411BBC"/>
    <w:rsid w:val="00414147"/>
    <w:rsid w:val="00414B76"/>
    <w:rsid w:val="004157CE"/>
    <w:rsid w:val="00416584"/>
    <w:rsid w:val="004207B6"/>
    <w:rsid w:val="004213F9"/>
    <w:rsid w:val="00422516"/>
    <w:rsid w:val="004228F1"/>
    <w:rsid w:val="00422F27"/>
    <w:rsid w:val="00423312"/>
    <w:rsid w:val="00423A0C"/>
    <w:rsid w:val="00423CD4"/>
    <w:rsid w:val="00423E23"/>
    <w:rsid w:val="004252A7"/>
    <w:rsid w:val="00425DDD"/>
    <w:rsid w:val="004270E6"/>
    <w:rsid w:val="00431B6C"/>
    <w:rsid w:val="00431B73"/>
    <w:rsid w:val="00431EFB"/>
    <w:rsid w:val="00432613"/>
    <w:rsid w:val="00432FCE"/>
    <w:rsid w:val="00433D5E"/>
    <w:rsid w:val="00433EB6"/>
    <w:rsid w:val="00435241"/>
    <w:rsid w:val="00435AE2"/>
    <w:rsid w:val="00436AFF"/>
    <w:rsid w:val="00436DC7"/>
    <w:rsid w:val="00437CFE"/>
    <w:rsid w:val="0044009C"/>
    <w:rsid w:val="0044068F"/>
    <w:rsid w:val="0044136F"/>
    <w:rsid w:val="004414BE"/>
    <w:rsid w:val="00442F9C"/>
    <w:rsid w:val="00443ACD"/>
    <w:rsid w:val="004448B7"/>
    <w:rsid w:val="0044556D"/>
    <w:rsid w:val="004456E1"/>
    <w:rsid w:val="0044723C"/>
    <w:rsid w:val="0044754B"/>
    <w:rsid w:val="00447EF9"/>
    <w:rsid w:val="00450FF0"/>
    <w:rsid w:val="004516CC"/>
    <w:rsid w:val="00452073"/>
    <w:rsid w:val="00453FF0"/>
    <w:rsid w:val="00456CC4"/>
    <w:rsid w:val="00457E63"/>
    <w:rsid w:val="004600FB"/>
    <w:rsid w:val="00460492"/>
    <w:rsid w:val="00462342"/>
    <w:rsid w:val="004626BF"/>
    <w:rsid w:val="00463250"/>
    <w:rsid w:val="00463DB8"/>
    <w:rsid w:val="00463EDC"/>
    <w:rsid w:val="004640CB"/>
    <w:rsid w:val="004648B5"/>
    <w:rsid w:val="00464EED"/>
    <w:rsid w:val="00465EC4"/>
    <w:rsid w:val="004665AC"/>
    <w:rsid w:val="0046709A"/>
    <w:rsid w:val="004676BA"/>
    <w:rsid w:val="00467E67"/>
    <w:rsid w:val="0047229C"/>
    <w:rsid w:val="00472A43"/>
    <w:rsid w:val="004739DF"/>
    <w:rsid w:val="00474A93"/>
    <w:rsid w:val="0047646A"/>
    <w:rsid w:val="0047656E"/>
    <w:rsid w:val="00476B90"/>
    <w:rsid w:val="00476CC2"/>
    <w:rsid w:val="0047705A"/>
    <w:rsid w:val="00477D66"/>
    <w:rsid w:val="0048321F"/>
    <w:rsid w:val="00483E34"/>
    <w:rsid w:val="0048551C"/>
    <w:rsid w:val="00485D47"/>
    <w:rsid w:val="00490529"/>
    <w:rsid w:val="00491D4F"/>
    <w:rsid w:val="00491F9C"/>
    <w:rsid w:val="00492C7B"/>
    <w:rsid w:val="004934D6"/>
    <w:rsid w:val="00493DEA"/>
    <w:rsid w:val="00496295"/>
    <w:rsid w:val="00496307"/>
    <w:rsid w:val="00496DB5"/>
    <w:rsid w:val="004A288A"/>
    <w:rsid w:val="004A3F5C"/>
    <w:rsid w:val="004A44D3"/>
    <w:rsid w:val="004A688D"/>
    <w:rsid w:val="004A7B9F"/>
    <w:rsid w:val="004B200C"/>
    <w:rsid w:val="004B2372"/>
    <w:rsid w:val="004B3321"/>
    <w:rsid w:val="004B358A"/>
    <w:rsid w:val="004B36E7"/>
    <w:rsid w:val="004B4425"/>
    <w:rsid w:val="004B579D"/>
    <w:rsid w:val="004B61CD"/>
    <w:rsid w:val="004B7345"/>
    <w:rsid w:val="004C1143"/>
    <w:rsid w:val="004C1E3E"/>
    <w:rsid w:val="004C3E14"/>
    <w:rsid w:val="004C45E5"/>
    <w:rsid w:val="004C4CA7"/>
    <w:rsid w:val="004C5DB0"/>
    <w:rsid w:val="004C7034"/>
    <w:rsid w:val="004C7840"/>
    <w:rsid w:val="004D052F"/>
    <w:rsid w:val="004D0F24"/>
    <w:rsid w:val="004D14D1"/>
    <w:rsid w:val="004D1B49"/>
    <w:rsid w:val="004D3644"/>
    <w:rsid w:val="004D41A7"/>
    <w:rsid w:val="004D580D"/>
    <w:rsid w:val="004D5F1F"/>
    <w:rsid w:val="004D74EE"/>
    <w:rsid w:val="004E032F"/>
    <w:rsid w:val="004E03E4"/>
    <w:rsid w:val="004E1141"/>
    <w:rsid w:val="004E125C"/>
    <w:rsid w:val="004E1289"/>
    <w:rsid w:val="004E382F"/>
    <w:rsid w:val="004E45D4"/>
    <w:rsid w:val="004E4CE3"/>
    <w:rsid w:val="004E636F"/>
    <w:rsid w:val="004E7807"/>
    <w:rsid w:val="004F01CB"/>
    <w:rsid w:val="004F0BE0"/>
    <w:rsid w:val="004F1000"/>
    <w:rsid w:val="004F1551"/>
    <w:rsid w:val="004F2084"/>
    <w:rsid w:val="004F3F6E"/>
    <w:rsid w:val="004F4B3D"/>
    <w:rsid w:val="004F63FE"/>
    <w:rsid w:val="005000E2"/>
    <w:rsid w:val="00501761"/>
    <w:rsid w:val="005029FF"/>
    <w:rsid w:val="00502E73"/>
    <w:rsid w:val="00503A7B"/>
    <w:rsid w:val="00503E2E"/>
    <w:rsid w:val="00505457"/>
    <w:rsid w:val="005072CD"/>
    <w:rsid w:val="0050760B"/>
    <w:rsid w:val="00507B1B"/>
    <w:rsid w:val="00507CB1"/>
    <w:rsid w:val="005113DA"/>
    <w:rsid w:val="00511583"/>
    <w:rsid w:val="00511D1C"/>
    <w:rsid w:val="00513583"/>
    <w:rsid w:val="0051440C"/>
    <w:rsid w:val="00515D75"/>
    <w:rsid w:val="00516AF6"/>
    <w:rsid w:val="005203C9"/>
    <w:rsid w:val="00521465"/>
    <w:rsid w:val="00521EEC"/>
    <w:rsid w:val="0052293B"/>
    <w:rsid w:val="00523723"/>
    <w:rsid w:val="005248D6"/>
    <w:rsid w:val="005248E1"/>
    <w:rsid w:val="00524CB1"/>
    <w:rsid w:val="005251EB"/>
    <w:rsid w:val="00526489"/>
    <w:rsid w:val="00526614"/>
    <w:rsid w:val="00526E65"/>
    <w:rsid w:val="0052781E"/>
    <w:rsid w:val="005304F9"/>
    <w:rsid w:val="0053067A"/>
    <w:rsid w:val="00532A3B"/>
    <w:rsid w:val="00532FA5"/>
    <w:rsid w:val="005336D6"/>
    <w:rsid w:val="00534F4B"/>
    <w:rsid w:val="00535848"/>
    <w:rsid w:val="00535B28"/>
    <w:rsid w:val="00536BC7"/>
    <w:rsid w:val="0054043E"/>
    <w:rsid w:val="005409B1"/>
    <w:rsid w:val="00541011"/>
    <w:rsid w:val="00542D3D"/>
    <w:rsid w:val="00542F79"/>
    <w:rsid w:val="00543E81"/>
    <w:rsid w:val="005443EC"/>
    <w:rsid w:val="00544E81"/>
    <w:rsid w:val="00544F34"/>
    <w:rsid w:val="00544F89"/>
    <w:rsid w:val="005455CE"/>
    <w:rsid w:val="00545A12"/>
    <w:rsid w:val="00545BA0"/>
    <w:rsid w:val="00546295"/>
    <w:rsid w:val="0054665A"/>
    <w:rsid w:val="00547700"/>
    <w:rsid w:val="00547E2F"/>
    <w:rsid w:val="00551306"/>
    <w:rsid w:val="00551577"/>
    <w:rsid w:val="00552838"/>
    <w:rsid w:val="00553455"/>
    <w:rsid w:val="0055345D"/>
    <w:rsid w:val="00553B10"/>
    <w:rsid w:val="005540A4"/>
    <w:rsid w:val="00555C32"/>
    <w:rsid w:val="00555D65"/>
    <w:rsid w:val="00560283"/>
    <w:rsid w:val="00561D22"/>
    <w:rsid w:val="00562783"/>
    <w:rsid w:val="0056292F"/>
    <w:rsid w:val="0056452E"/>
    <w:rsid w:val="00566875"/>
    <w:rsid w:val="00567071"/>
    <w:rsid w:val="0056726E"/>
    <w:rsid w:val="0056744C"/>
    <w:rsid w:val="005679B0"/>
    <w:rsid w:val="00570E08"/>
    <w:rsid w:val="0057147B"/>
    <w:rsid w:val="00571B2E"/>
    <w:rsid w:val="00571E68"/>
    <w:rsid w:val="005758A9"/>
    <w:rsid w:val="00577D86"/>
    <w:rsid w:val="00577FC0"/>
    <w:rsid w:val="00580741"/>
    <w:rsid w:val="00580E28"/>
    <w:rsid w:val="0058188C"/>
    <w:rsid w:val="00581994"/>
    <w:rsid w:val="00581D9F"/>
    <w:rsid w:val="00584AC4"/>
    <w:rsid w:val="00584B51"/>
    <w:rsid w:val="00584F69"/>
    <w:rsid w:val="005862E5"/>
    <w:rsid w:val="0058688F"/>
    <w:rsid w:val="00586E4C"/>
    <w:rsid w:val="0058726C"/>
    <w:rsid w:val="00587CD8"/>
    <w:rsid w:val="00590DA6"/>
    <w:rsid w:val="00590E94"/>
    <w:rsid w:val="00591926"/>
    <w:rsid w:val="005922B0"/>
    <w:rsid w:val="00594679"/>
    <w:rsid w:val="00594F44"/>
    <w:rsid w:val="00595169"/>
    <w:rsid w:val="00595350"/>
    <w:rsid w:val="00596464"/>
    <w:rsid w:val="00596B69"/>
    <w:rsid w:val="005A10C0"/>
    <w:rsid w:val="005A10D2"/>
    <w:rsid w:val="005A1E87"/>
    <w:rsid w:val="005A3613"/>
    <w:rsid w:val="005A3643"/>
    <w:rsid w:val="005A52A9"/>
    <w:rsid w:val="005A5578"/>
    <w:rsid w:val="005A61CE"/>
    <w:rsid w:val="005A7417"/>
    <w:rsid w:val="005B083E"/>
    <w:rsid w:val="005B26B2"/>
    <w:rsid w:val="005B398E"/>
    <w:rsid w:val="005B46F4"/>
    <w:rsid w:val="005B5012"/>
    <w:rsid w:val="005B5700"/>
    <w:rsid w:val="005B5A00"/>
    <w:rsid w:val="005B5E2E"/>
    <w:rsid w:val="005B676F"/>
    <w:rsid w:val="005B7301"/>
    <w:rsid w:val="005C1513"/>
    <w:rsid w:val="005C192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D01F6"/>
    <w:rsid w:val="005D1381"/>
    <w:rsid w:val="005D2BE9"/>
    <w:rsid w:val="005D2E34"/>
    <w:rsid w:val="005D2F5B"/>
    <w:rsid w:val="005D4453"/>
    <w:rsid w:val="005D4676"/>
    <w:rsid w:val="005D67DD"/>
    <w:rsid w:val="005D6FBC"/>
    <w:rsid w:val="005D7AE0"/>
    <w:rsid w:val="005E0D9E"/>
    <w:rsid w:val="005E1FEB"/>
    <w:rsid w:val="005E244A"/>
    <w:rsid w:val="005E25C8"/>
    <w:rsid w:val="005E25F5"/>
    <w:rsid w:val="005E296B"/>
    <w:rsid w:val="005E2AF2"/>
    <w:rsid w:val="005E5043"/>
    <w:rsid w:val="005E682C"/>
    <w:rsid w:val="005E714E"/>
    <w:rsid w:val="005E7899"/>
    <w:rsid w:val="005F0630"/>
    <w:rsid w:val="005F088D"/>
    <w:rsid w:val="005F0B00"/>
    <w:rsid w:val="005F23E0"/>
    <w:rsid w:val="005F421F"/>
    <w:rsid w:val="005F42A0"/>
    <w:rsid w:val="005F45D0"/>
    <w:rsid w:val="005F53AC"/>
    <w:rsid w:val="005F5A26"/>
    <w:rsid w:val="005F682F"/>
    <w:rsid w:val="005F6AE3"/>
    <w:rsid w:val="005F6CDD"/>
    <w:rsid w:val="005F6E49"/>
    <w:rsid w:val="0060040D"/>
    <w:rsid w:val="00601962"/>
    <w:rsid w:val="00602FF9"/>
    <w:rsid w:val="00603DE0"/>
    <w:rsid w:val="00604051"/>
    <w:rsid w:val="00605D9B"/>
    <w:rsid w:val="006075E9"/>
    <w:rsid w:val="00610EFC"/>
    <w:rsid w:val="006138DB"/>
    <w:rsid w:val="006155F8"/>
    <w:rsid w:val="00615CE4"/>
    <w:rsid w:val="0061694E"/>
    <w:rsid w:val="00616BFE"/>
    <w:rsid w:val="00621F5A"/>
    <w:rsid w:val="00622A26"/>
    <w:rsid w:val="00623097"/>
    <w:rsid w:val="00624848"/>
    <w:rsid w:val="00625EC3"/>
    <w:rsid w:val="00626539"/>
    <w:rsid w:val="00626EE0"/>
    <w:rsid w:val="0062702E"/>
    <w:rsid w:val="00627AB3"/>
    <w:rsid w:val="00630643"/>
    <w:rsid w:val="00631DA9"/>
    <w:rsid w:val="00631E85"/>
    <w:rsid w:val="0063209D"/>
    <w:rsid w:val="00632DF6"/>
    <w:rsid w:val="006334BB"/>
    <w:rsid w:val="0063359E"/>
    <w:rsid w:val="0063390B"/>
    <w:rsid w:val="00633FC6"/>
    <w:rsid w:val="00636554"/>
    <w:rsid w:val="00637CE5"/>
    <w:rsid w:val="00641A79"/>
    <w:rsid w:val="00641BCF"/>
    <w:rsid w:val="00641EEB"/>
    <w:rsid w:val="00642C27"/>
    <w:rsid w:val="00642C7C"/>
    <w:rsid w:val="006432AC"/>
    <w:rsid w:val="00643378"/>
    <w:rsid w:val="00643501"/>
    <w:rsid w:val="00643D2F"/>
    <w:rsid w:val="00644AEC"/>
    <w:rsid w:val="00645809"/>
    <w:rsid w:val="00646178"/>
    <w:rsid w:val="00646473"/>
    <w:rsid w:val="006478BE"/>
    <w:rsid w:val="00647A8A"/>
    <w:rsid w:val="00647DD6"/>
    <w:rsid w:val="006504BB"/>
    <w:rsid w:val="0065050B"/>
    <w:rsid w:val="00650E51"/>
    <w:rsid w:val="00653773"/>
    <w:rsid w:val="006538B2"/>
    <w:rsid w:val="00655303"/>
    <w:rsid w:val="0065691E"/>
    <w:rsid w:val="0065692D"/>
    <w:rsid w:val="00656A05"/>
    <w:rsid w:val="00657E13"/>
    <w:rsid w:val="00660293"/>
    <w:rsid w:val="006606D2"/>
    <w:rsid w:val="006621FC"/>
    <w:rsid w:val="00662734"/>
    <w:rsid w:val="006627B3"/>
    <w:rsid w:val="00663632"/>
    <w:rsid w:val="00663E20"/>
    <w:rsid w:val="006640D9"/>
    <w:rsid w:val="00666909"/>
    <w:rsid w:val="00666BEA"/>
    <w:rsid w:val="00666ED1"/>
    <w:rsid w:val="00673F6F"/>
    <w:rsid w:val="0067433D"/>
    <w:rsid w:val="00675A78"/>
    <w:rsid w:val="00675C73"/>
    <w:rsid w:val="00675F00"/>
    <w:rsid w:val="006760C1"/>
    <w:rsid w:val="00676F1C"/>
    <w:rsid w:val="00677866"/>
    <w:rsid w:val="00680AD3"/>
    <w:rsid w:val="006811C6"/>
    <w:rsid w:val="00681658"/>
    <w:rsid w:val="00682635"/>
    <w:rsid w:val="006841DD"/>
    <w:rsid w:val="00687D78"/>
    <w:rsid w:val="00690AD1"/>
    <w:rsid w:val="00691685"/>
    <w:rsid w:val="00691907"/>
    <w:rsid w:val="00691B09"/>
    <w:rsid w:val="00691E53"/>
    <w:rsid w:val="006946FE"/>
    <w:rsid w:val="00694D8A"/>
    <w:rsid w:val="00697E18"/>
    <w:rsid w:val="006A3282"/>
    <w:rsid w:val="006A3627"/>
    <w:rsid w:val="006A5195"/>
    <w:rsid w:val="006A7151"/>
    <w:rsid w:val="006B04AD"/>
    <w:rsid w:val="006B05E1"/>
    <w:rsid w:val="006B0D68"/>
    <w:rsid w:val="006B1532"/>
    <w:rsid w:val="006B1D02"/>
    <w:rsid w:val="006B1F44"/>
    <w:rsid w:val="006B4403"/>
    <w:rsid w:val="006B453A"/>
    <w:rsid w:val="006B461B"/>
    <w:rsid w:val="006B55B1"/>
    <w:rsid w:val="006B6996"/>
    <w:rsid w:val="006B6C08"/>
    <w:rsid w:val="006B6C7C"/>
    <w:rsid w:val="006B6D00"/>
    <w:rsid w:val="006C0299"/>
    <w:rsid w:val="006C3034"/>
    <w:rsid w:val="006C45FB"/>
    <w:rsid w:val="006C4A2B"/>
    <w:rsid w:val="006C545C"/>
    <w:rsid w:val="006C5B0E"/>
    <w:rsid w:val="006C5BBA"/>
    <w:rsid w:val="006C63D9"/>
    <w:rsid w:val="006C7068"/>
    <w:rsid w:val="006C75E2"/>
    <w:rsid w:val="006C7832"/>
    <w:rsid w:val="006D0C54"/>
    <w:rsid w:val="006D52DC"/>
    <w:rsid w:val="006D5369"/>
    <w:rsid w:val="006D5FF9"/>
    <w:rsid w:val="006D7CE3"/>
    <w:rsid w:val="006D7DC8"/>
    <w:rsid w:val="006E0441"/>
    <w:rsid w:val="006E0E23"/>
    <w:rsid w:val="006E1601"/>
    <w:rsid w:val="006E37F2"/>
    <w:rsid w:val="006E3877"/>
    <w:rsid w:val="006E48EA"/>
    <w:rsid w:val="006E52F7"/>
    <w:rsid w:val="006E6334"/>
    <w:rsid w:val="006E699B"/>
    <w:rsid w:val="006E7A68"/>
    <w:rsid w:val="006F00CB"/>
    <w:rsid w:val="006F0FC3"/>
    <w:rsid w:val="006F24EA"/>
    <w:rsid w:val="006F4989"/>
    <w:rsid w:val="006F4B8B"/>
    <w:rsid w:val="006F4E48"/>
    <w:rsid w:val="006F4F84"/>
    <w:rsid w:val="006F5705"/>
    <w:rsid w:val="006F58B1"/>
    <w:rsid w:val="006F603C"/>
    <w:rsid w:val="006F7CF1"/>
    <w:rsid w:val="00702D84"/>
    <w:rsid w:val="00704699"/>
    <w:rsid w:val="00704B61"/>
    <w:rsid w:val="00705DFE"/>
    <w:rsid w:val="007073CD"/>
    <w:rsid w:val="00707903"/>
    <w:rsid w:val="00710C92"/>
    <w:rsid w:val="0071115F"/>
    <w:rsid w:val="0071240A"/>
    <w:rsid w:val="00713D26"/>
    <w:rsid w:val="00714922"/>
    <w:rsid w:val="00714EDC"/>
    <w:rsid w:val="007155F3"/>
    <w:rsid w:val="00716D5A"/>
    <w:rsid w:val="00717ACA"/>
    <w:rsid w:val="0072057D"/>
    <w:rsid w:val="007211AE"/>
    <w:rsid w:val="0072180C"/>
    <w:rsid w:val="007239D4"/>
    <w:rsid w:val="00725A74"/>
    <w:rsid w:val="007268E9"/>
    <w:rsid w:val="00726D79"/>
    <w:rsid w:val="00726DE9"/>
    <w:rsid w:val="00726E6C"/>
    <w:rsid w:val="00727424"/>
    <w:rsid w:val="007276F7"/>
    <w:rsid w:val="00732D5F"/>
    <w:rsid w:val="00734314"/>
    <w:rsid w:val="00741EB3"/>
    <w:rsid w:val="0074228F"/>
    <w:rsid w:val="007423E5"/>
    <w:rsid w:val="00744E1D"/>
    <w:rsid w:val="00745F8F"/>
    <w:rsid w:val="00747A1F"/>
    <w:rsid w:val="0075069F"/>
    <w:rsid w:val="00753193"/>
    <w:rsid w:val="00753B50"/>
    <w:rsid w:val="00754205"/>
    <w:rsid w:val="007561E2"/>
    <w:rsid w:val="00757D55"/>
    <w:rsid w:val="00760F02"/>
    <w:rsid w:val="00761964"/>
    <w:rsid w:val="00761B37"/>
    <w:rsid w:val="00761D9B"/>
    <w:rsid w:val="00762418"/>
    <w:rsid w:val="00767455"/>
    <w:rsid w:val="00770105"/>
    <w:rsid w:val="00770502"/>
    <w:rsid w:val="0077091B"/>
    <w:rsid w:val="00771BD1"/>
    <w:rsid w:val="00771BF3"/>
    <w:rsid w:val="007721C3"/>
    <w:rsid w:val="00774367"/>
    <w:rsid w:val="007757F9"/>
    <w:rsid w:val="00776D15"/>
    <w:rsid w:val="007770E7"/>
    <w:rsid w:val="0077710B"/>
    <w:rsid w:val="007774F3"/>
    <w:rsid w:val="00780957"/>
    <w:rsid w:val="00780B62"/>
    <w:rsid w:val="00780F48"/>
    <w:rsid w:val="00781D9C"/>
    <w:rsid w:val="0078206C"/>
    <w:rsid w:val="00784F74"/>
    <w:rsid w:val="00785A4B"/>
    <w:rsid w:val="0078769E"/>
    <w:rsid w:val="00792699"/>
    <w:rsid w:val="00792C0F"/>
    <w:rsid w:val="007939D0"/>
    <w:rsid w:val="0079595D"/>
    <w:rsid w:val="007965E2"/>
    <w:rsid w:val="00797374"/>
    <w:rsid w:val="00797614"/>
    <w:rsid w:val="00797C85"/>
    <w:rsid w:val="007A0E7F"/>
    <w:rsid w:val="007A2F16"/>
    <w:rsid w:val="007A3219"/>
    <w:rsid w:val="007A3B98"/>
    <w:rsid w:val="007A3E8A"/>
    <w:rsid w:val="007A4215"/>
    <w:rsid w:val="007A48CC"/>
    <w:rsid w:val="007A48EE"/>
    <w:rsid w:val="007A6CC6"/>
    <w:rsid w:val="007A6FC8"/>
    <w:rsid w:val="007A7319"/>
    <w:rsid w:val="007A748A"/>
    <w:rsid w:val="007B00CC"/>
    <w:rsid w:val="007B07C5"/>
    <w:rsid w:val="007B0D5D"/>
    <w:rsid w:val="007B135B"/>
    <w:rsid w:val="007B17EA"/>
    <w:rsid w:val="007B1AB2"/>
    <w:rsid w:val="007B3303"/>
    <w:rsid w:val="007B515A"/>
    <w:rsid w:val="007B68B9"/>
    <w:rsid w:val="007C05FB"/>
    <w:rsid w:val="007C1192"/>
    <w:rsid w:val="007C11AB"/>
    <w:rsid w:val="007C2968"/>
    <w:rsid w:val="007C2B03"/>
    <w:rsid w:val="007C3074"/>
    <w:rsid w:val="007C3369"/>
    <w:rsid w:val="007C4B6D"/>
    <w:rsid w:val="007C6573"/>
    <w:rsid w:val="007C67CB"/>
    <w:rsid w:val="007C7CC8"/>
    <w:rsid w:val="007D11D7"/>
    <w:rsid w:val="007D140E"/>
    <w:rsid w:val="007D1797"/>
    <w:rsid w:val="007D1940"/>
    <w:rsid w:val="007D2611"/>
    <w:rsid w:val="007D36B0"/>
    <w:rsid w:val="007D3B05"/>
    <w:rsid w:val="007D3B90"/>
    <w:rsid w:val="007D49F9"/>
    <w:rsid w:val="007D4B7B"/>
    <w:rsid w:val="007D5A32"/>
    <w:rsid w:val="007D78DC"/>
    <w:rsid w:val="007E3F1A"/>
    <w:rsid w:val="007E4E80"/>
    <w:rsid w:val="007E57C8"/>
    <w:rsid w:val="007E5FC4"/>
    <w:rsid w:val="007E7835"/>
    <w:rsid w:val="007F0FF4"/>
    <w:rsid w:val="007F1C71"/>
    <w:rsid w:val="007F43A2"/>
    <w:rsid w:val="007F4D8A"/>
    <w:rsid w:val="007F774C"/>
    <w:rsid w:val="00801E9B"/>
    <w:rsid w:val="00802A9A"/>
    <w:rsid w:val="00803180"/>
    <w:rsid w:val="008037A6"/>
    <w:rsid w:val="00804E8D"/>
    <w:rsid w:val="00805C96"/>
    <w:rsid w:val="00806441"/>
    <w:rsid w:val="008109EF"/>
    <w:rsid w:val="008119E9"/>
    <w:rsid w:val="008124DB"/>
    <w:rsid w:val="00812896"/>
    <w:rsid w:val="008134AB"/>
    <w:rsid w:val="00814608"/>
    <w:rsid w:val="00814713"/>
    <w:rsid w:val="00815406"/>
    <w:rsid w:val="00815FE9"/>
    <w:rsid w:val="00824975"/>
    <w:rsid w:val="00824E3F"/>
    <w:rsid w:val="00830921"/>
    <w:rsid w:val="0083135E"/>
    <w:rsid w:val="00831780"/>
    <w:rsid w:val="00833016"/>
    <w:rsid w:val="008330C6"/>
    <w:rsid w:val="008332C3"/>
    <w:rsid w:val="00833B89"/>
    <w:rsid w:val="008350D1"/>
    <w:rsid w:val="0083540F"/>
    <w:rsid w:val="008356E0"/>
    <w:rsid w:val="00835E1C"/>
    <w:rsid w:val="0083654A"/>
    <w:rsid w:val="00836A2D"/>
    <w:rsid w:val="00836ADC"/>
    <w:rsid w:val="00841065"/>
    <w:rsid w:val="008413A3"/>
    <w:rsid w:val="0084249A"/>
    <w:rsid w:val="008425D6"/>
    <w:rsid w:val="00842DB8"/>
    <w:rsid w:val="00842EF4"/>
    <w:rsid w:val="0084324D"/>
    <w:rsid w:val="00843551"/>
    <w:rsid w:val="00843ABC"/>
    <w:rsid w:val="00845748"/>
    <w:rsid w:val="00846D29"/>
    <w:rsid w:val="00846FE9"/>
    <w:rsid w:val="008475C9"/>
    <w:rsid w:val="00850949"/>
    <w:rsid w:val="00850955"/>
    <w:rsid w:val="0085117B"/>
    <w:rsid w:val="00851A14"/>
    <w:rsid w:val="00851C5A"/>
    <w:rsid w:val="00851C6E"/>
    <w:rsid w:val="00851E95"/>
    <w:rsid w:val="008534C1"/>
    <w:rsid w:val="00855290"/>
    <w:rsid w:val="0085578B"/>
    <w:rsid w:val="00856BA0"/>
    <w:rsid w:val="008602E9"/>
    <w:rsid w:val="00861565"/>
    <w:rsid w:val="00861BA7"/>
    <w:rsid w:val="00862324"/>
    <w:rsid w:val="008627D4"/>
    <w:rsid w:val="00863E65"/>
    <w:rsid w:val="00864450"/>
    <w:rsid w:val="008646B4"/>
    <w:rsid w:val="00864EDD"/>
    <w:rsid w:val="00866325"/>
    <w:rsid w:val="00866916"/>
    <w:rsid w:val="00867189"/>
    <w:rsid w:val="00867CAD"/>
    <w:rsid w:val="00867D9E"/>
    <w:rsid w:val="008708AD"/>
    <w:rsid w:val="008721E9"/>
    <w:rsid w:val="00874ACD"/>
    <w:rsid w:val="00875BDB"/>
    <w:rsid w:val="00876886"/>
    <w:rsid w:val="00880BD6"/>
    <w:rsid w:val="008818D2"/>
    <w:rsid w:val="00882C2A"/>
    <w:rsid w:val="00883502"/>
    <w:rsid w:val="00884C17"/>
    <w:rsid w:val="008858BA"/>
    <w:rsid w:val="00885B3E"/>
    <w:rsid w:val="0088637A"/>
    <w:rsid w:val="00887EAC"/>
    <w:rsid w:val="00890F1D"/>
    <w:rsid w:val="008914DF"/>
    <w:rsid w:val="00891A8A"/>
    <w:rsid w:val="00892D11"/>
    <w:rsid w:val="00893310"/>
    <w:rsid w:val="008941E0"/>
    <w:rsid w:val="00894B6B"/>
    <w:rsid w:val="00894C0F"/>
    <w:rsid w:val="00897235"/>
    <w:rsid w:val="008A0078"/>
    <w:rsid w:val="008A15E0"/>
    <w:rsid w:val="008A1796"/>
    <w:rsid w:val="008A1AC4"/>
    <w:rsid w:val="008A1C71"/>
    <w:rsid w:val="008A1FB1"/>
    <w:rsid w:val="008A26E1"/>
    <w:rsid w:val="008A29F9"/>
    <w:rsid w:val="008A2AC9"/>
    <w:rsid w:val="008A41BE"/>
    <w:rsid w:val="008A511C"/>
    <w:rsid w:val="008A6099"/>
    <w:rsid w:val="008A6388"/>
    <w:rsid w:val="008A72D4"/>
    <w:rsid w:val="008A7904"/>
    <w:rsid w:val="008B0FC9"/>
    <w:rsid w:val="008B227C"/>
    <w:rsid w:val="008B29C5"/>
    <w:rsid w:val="008B2E1F"/>
    <w:rsid w:val="008B345B"/>
    <w:rsid w:val="008B4127"/>
    <w:rsid w:val="008B42FF"/>
    <w:rsid w:val="008B4317"/>
    <w:rsid w:val="008B437E"/>
    <w:rsid w:val="008B6D65"/>
    <w:rsid w:val="008B79BA"/>
    <w:rsid w:val="008B7C7A"/>
    <w:rsid w:val="008C069F"/>
    <w:rsid w:val="008C1248"/>
    <w:rsid w:val="008C1620"/>
    <w:rsid w:val="008C1D7A"/>
    <w:rsid w:val="008C3326"/>
    <w:rsid w:val="008C46DD"/>
    <w:rsid w:val="008C5007"/>
    <w:rsid w:val="008C518E"/>
    <w:rsid w:val="008C5C5A"/>
    <w:rsid w:val="008C5D3F"/>
    <w:rsid w:val="008C668A"/>
    <w:rsid w:val="008C6F18"/>
    <w:rsid w:val="008C726E"/>
    <w:rsid w:val="008D013C"/>
    <w:rsid w:val="008D0E68"/>
    <w:rsid w:val="008D2B7B"/>
    <w:rsid w:val="008D3422"/>
    <w:rsid w:val="008D41AF"/>
    <w:rsid w:val="008D5C8B"/>
    <w:rsid w:val="008D5F9E"/>
    <w:rsid w:val="008D65E4"/>
    <w:rsid w:val="008D7561"/>
    <w:rsid w:val="008E2665"/>
    <w:rsid w:val="008E2E73"/>
    <w:rsid w:val="008E6668"/>
    <w:rsid w:val="008F1308"/>
    <w:rsid w:val="008F17B3"/>
    <w:rsid w:val="008F371B"/>
    <w:rsid w:val="008F4559"/>
    <w:rsid w:val="008F5623"/>
    <w:rsid w:val="008F597A"/>
    <w:rsid w:val="008F5D7B"/>
    <w:rsid w:val="008F5FA4"/>
    <w:rsid w:val="008F67DB"/>
    <w:rsid w:val="008F6978"/>
    <w:rsid w:val="008F6F69"/>
    <w:rsid w:val="00900691"/>
    <w:rsid w:val="00901E15"/>
    <w:rsid w:val="00903DC4"/>
    <w:rsid w:val="00904762"/>
    <w:rsid w:val="00904BFE"/>
    <w:rsid w:val="009055D9"/>
    <w:rsid w:val="00906658"/>
    <w:rsid w:val="00906895"/>
    <w:rsid w:val="00906ADA"/>
    <w:rsid w:val="00907322"/>
    <w:rsid w:val="009073AA"/>
    <w:rsid w:val="00907E08"/>
    <w:rsid w:val="00907EB7"/>
    <w:rsid w:val="009114C1"/>
    <w:rsid w:val="00911ED3"/>
    <w:rsid w:val="009124CA"/>
    <w:rsid w:val="00914343"/>
    <w:rsid w:val="00914C10"/>
    <w:rsid w:val="00914F90"/>
    <w:rsid w:val="00915788"/>
    <w:rsid w:val="00915B79"/>
    <w:rsid w:val="00915E3F"/>
    <w:rsid w:val="0091692E"/>
    <w:rsid w:val="00921528"/>
    <w:rsid w:val="009225D2"/>
    <w:rsid w:val="009240B8"/>
    <w:rsid w:val="00925378"/>
    <w:rsid w:val="009262D1"/>
    <w:rsid w:val="00926DE6"/>
    <w:rsid w:val="0093032C"/>
    <w:rsid w:val="00931503"/>
    <w:rsid w:val="009330C4"/>
    <w:rsid w:val="00933EDC"/>
    <w:rsid w:val="00933F1F"/>
    <w:rsid w:val="00934721"/>
    <w:rsid w:val="00934875"/>
    <w:rsid w:val="00936BDB"/>
    <w:rsid w:val="0093717F"/>
    <w:rsid w:val="00937609"/>
    <w:rsid w:val="00940751"/>
    <w:rsid w:val="00940859"/>
    <w:rsid w:val="0094172B"/>
    <w:rsid w:val="00941A53"/>
    <w:rsid w:val="00942FD7"/>
    <w:rsid w:val="00943A25"/>
    <w:rsid w:val="009445EB"/>
    <w:rsid w:val="00945206"/>
    <w:rsid w:val="009474E7"/>
    <w:rsid w:val="00953254"/>
    <w:rsid w:val="00954949"/>
    <w:rsid w:val="00954D77"/>
    <w:rsid w:val="009559BB"/>
    <w:rsid w:val="009579C5"/>
    <w:rsid w:val="00961947"/>
    <w:rsid w:val="009634AF"/>
    <w:rsid w:val="009640D4"/>
    <w:rsid w:val="009652BD"/>
    <w:rsid w:val="0096580D"/>
    <w:rsid w:val="00965A3F"/>
    <w:rsid w:val="00966F7F"/>
    <w:rsid w:val="009674D1"/>
    <w:rsid w:val="00967CF6"/>
    <w:rsid w:val="00970BE7"/>
    <w:rsid w:val="00970EC2"/>
    <w:rsid w:val="009717A3"/>
    <w:rsid w:val="00971A17"/>
    <w:rsid w:val="00971E63"/>
    <w:rsid w:val="00973082"/>
    <w:rsid w:val="00974F3B"/>
    <w:rsid w:val="00975625"/>
    <w:rsid w:val="00975B2E"/>
    <w:rsid w:val="00976698"/>
    <w:rsid w:val="00977A1D"/>
    <w:rsid w:val="00977D51"/>
    <w:rsid w:val="00980E7C"/>
    <w:rsid w:val="00982397"/>
    <w:rsid w:val="00982675"/>
    <w:rsid w:val="00982AE0"/>
    <w:rsid w:val="00982FD9"/>
    <w:rsid w:val="0098497F"/>
    <w:rsid w:val="00986761"/>
    <w:rsid w:val="009906E7"/>
    <w:rsid w:val="00990D5A"/>
    <w:rsid w:val="00991B65"/>
    <w:rsid w:val="00994D64"/>
    <w:rsid w:val="00995B1A"/>
    <w:rsid w:val="009A064C"/>
    <w:rsid w:val="009A14B3"/>
    <w:rsid w:val="009A1561"/>
    <w:rsid w:val="009A215A"/>
    <w:rsid w:val="009A2187"/>
    <w:rsid w:val="009A270D"/>
    <w:rsid w:val="009A27F6"/>
    <w:rsid w:val="009A48A4"/>
    <w:rsid w:val="009A4CC9"/>
    <w:rsid w:val="009A6C0C"/>
    <w:rsid w:val="009A7B4B"/>
    <w:rsid w:val="009B0FF8"/>
    <w:rsid w:val="009B2186"/>
    <w:rsid w:val="009B4456"/>
    <w:rsid w:val="009B4601"/>
    <w:rsid w:val="009B7467"/>
    <w:rsid w:val="009C047D"/>
    <w:rsid w:val="009C099C"/>
    <w:rsid w:val="009C2091"/>
    <w:rsid w:val="009C20FC"/>
    <w:rsid w:val="009C3499"/>
    <w:rsid w:val="009C35CF"/>
    <w:rsid w:val="009C3BEF"/>
    <w:rsid w:val="009C3C52"/>
    <w:rsid w:val="009C6FC4"/>
    <w:rsid w:val="009D0D7A"/>
    <w:rsid w:val="009D3F45"/>
    <w:rsid w:val="009D563F"/>
    <w:rsid w:val="009D5BCC"/>
    <w:rsid w:val="009D660D"/>
    <w:rsid w:val="009E04D0"/>
    <w:rsid w:val="009E05D4"/>
    <w:rsid w:val="009E1DBE"/>
    <w:rsid w:val="009E359B"/>
    <w:rsid w:val="009E5196"/>
    <w:rsid w:val="009E5673"/>
    <w:rsid w:val="009E6E06"/>
    <w:rsid w:val="009E7D8A"/>
    <w:rsid w:val="009F0506"/>
    <w:rsid w:val="009F17CC"/>
    <w:rsid w:val="009F2C88"/>
    <w:rsid w:val="009F2DAF"/>
    <w:rsid w:val="009F2F94"/>
    <w:rsid w:val="009F44E0"/>
    <w:rsid w:val="009F5F6F"/>
    <w:rsid w:val="009F75C4"/>
    <w:rsid w:val="00A000E2"/>
    <w:rsid w:val="00A00156"/>
    <w:rsid w:val="00A018CF"/>
    <w:rsid w:val="00A01AE3"/>
    <w:rsid w:val="00A02D77"/>
    <w:rsid w:val="00A04940"/>
    <w:rsid w:val="00A04CC6"/>
    <w:rsid w:val="00A05BE7"/>
    <w:rsid w:val="00A05D01"/>
    <w:rsid w:val="00A06259"/>
    <w:rsid w:val="00A0698F"/>
    <w:rsid w:val="00A10FB7"/>
    <w:rsid w:val="00A119CF"/>
    <w:rsid w:val="00A11A8A"/>
    <w:rsid w:val="00A14590"/>
    <w:rsid w:val="00A14F28"/>
    <w:rsid w:val="00A157C1"/>
    <w:rsid w:val="00A15B72"/>
    <w:rsid w:val="00A167C9"/>
    <w:rsid w:val="00A16E2A"/>
    <w:rsid w:val="00A172C0"/>
    <w:rsid w:val="00A17C20"/>
    <w:rsid w:val="00A20065"/>
    <w:rsid w:val="00A20227"/>
    <w:rsid w:val="00A20C90"/>
    <w:rsid w:val="00A21566"/>
    <w:rsid w:val="00A22661"/>
    <w:rsid w:val="00A22A2D"/>
    <w:rsid w:val="00A23F23"/>
    <w:rsid w:val="00A243B3"/>
    <w:rsid w:val="00A267F6"/>
    <w:rsid w:val="00A27591"/>
    <w:rsid w:val="00A3150A"/>
    <w:rsid w:val="00A31F4C"/>
    <w:rsid w:val="00A32726"/>
    <w:rsid w:val="00A32D98"/>
    <w:rsid w:val="00A337B4"/>
    <w:rsid w:val="00A33D8D"/>
    <w:rsid w:val="00A33FF9"/>
    <w:rsid w:val="00A356F6"/>
    <w:rsid w:val="00A378EA"/>
    <w:rsid w:val="00A41025"/>
    <w:rsid w:val="00A41C9C"/>
    <w:rsid w:val="00A450DC"/>
    <w:rsid w:val="00A458CF"/>
    <w:rsid w:val="00A535EE"/>
    <w:rsid w:val="00A53D12"/>
    <w:rsid w:val="00A56F99"/>
    <w:rsid w:val="00A57E4C"/>
    <w:rsid w:val="00A57E9C"/>
    <w:rsid w:val="00A6132B"/>
    <w:rsid w:val="00A62BB6"/>
    <w:rsid w:val="00A637E3"/>
    <w:rsid w:val="00A638DD"/>
    <w:rsid w:val="00A63A56"/>
    <w:rsid w:val="00A64563"/>
    <w:rsid w:val="00A65723"/>
    <w:rsid w:val="00A65BCE"/>
    <w:rsid w:val="00A65C76"/>
    <w:rsid w:val="00A662B7"/>
    <w:rsid w:val="00A663B4"/>
    <w:rsid w:val="00A6728D"/>
    <w:rsid w:val="00A672FF"/>
    <w:rsid w:val="00A677E1"/>
    <w:rsid w:val="00A67AB4"/>
    <w:rsid w:val="00A72D7C"/>
    <w:rsid w:val="00A72E7A"/>
    <w:rsid w:val="00A73A57"/>
    <w:rsid w:val="00A73B8B"/>
    <w:rsid w:val="00A7405F"/>
    <w:rsid w:val="00A75C93"/>
    <w:rsid w:val="00A7665B"/>
    <w:rsid w:val="00A768B3"/>
    <w:rsid w:val="00A8107C"/>
    <w:rsid w:val="00A823FB"/>
    <w:rsid w:val="00A83035"/>
    <w:rsid w:val="00A835CC"/>
    <w:rsid w:val="00A84A60"/>
    <w:rsid w:val="00A8507D"/>
    <w:rsid w:val="00A85C0D"/>
    <w:rsid w:val="00A90116"/>
    <w:rsid w:val="00A91ABF"/>
    <w:rsid w:val="00A93395"/>
    <w:rsid w:val="00A95A00"/>
    <w:rsid w:val="00A96399"/>
    <w:rsid w:val="00A96DB9"/>
    <w:rsid w:val="00A97219"/>
    <w:rsid w:val="00AA01EA"/>
    <w:rsid w:val="00AA0D18"/>
    <w:rsid w:val="00AA3218"/>
    <w:rsid w:val="00AA3F22"/>
    <w:rsid w:val="00AA5AA1"/>
    <w:rsid w:val="00AA639B"/>
    <w:rsid w:val="00AA7DE4"/>
    <w:rsid w:val="00AB005C"/>
    <w:rsid w:val="00AB1130"/>
    <w:rsid w:val="00AB1D2A"/>
    <w:rsid w:val="00AB2CB1"/>
    <w:rsid w:val="00AB36F8"/>
    <w:rsid w:val="00AB3C21"/>
    <w:rsid w:val="00AB586D"/>
    <w:rsid w:val="00AB6BEB"/>
    <w:rsid w:val="00AC0C14"/>
    <w:rsid w:val="00AC10F6"/>
    <w:rsid w:val="00AC2410"/>
    <w:rsid w:val="00AC37ED"/>
    <w:rsid w:val="00AC3B6C"/>
    <w:rsid w:val="00AC4445"/>
    <w:rsid w:val="00AC6461"/>
    <w:rsid w:val="00AC688D"/>
    <w:rsid w:val="00AC7F61"/>
    <w:rsid w:val="00AD04E2"/>
    <w:rsid w:val="00AD1F43"/>
    <w:rsid w:val="00AD416C"/>
    <w:rsid w:val="00AD4584"/>
    <w:rsid w:val="00AD4F24"/>
    <w:rsid w:val="00AD5A71"/>
    <w:rsid w:val="00AD6271"/>
    <w:rsid w:val="00AD6E08"/>
    <w:rsid w:val="00AD7577"/>
    <w:rsid w:val="00AE08B9"/>
    <w:rsid w:val="00AE4200"/>
    <w:rsid w:val="00AE6464"/>
    <w:rsid w:val="00AE7F2F"/>
    <w:rsid w:val="00AF0AD0"/>
    <w:rsid w:val="00AF1D68"/>
    <w:rsid w:val="00AF3B72"/>
    <w:rsid w:val="00AF690C"/>
    <w:rsid w:val="00B003F5"/>
    <w:rsid w:val="00B00584"/>
    <w:rsid w:val="00B00DF7"/>
    <w:rsid w:val="00B0107B"/>
    <w:rsid w:val="00B01529"/>
    <w:rsid w:val="00B01910"/>
    <w:rsid w:val="00B02615"/>
    <w:rsid w:val="00B02F7B"/>
    <w:rsid w:val="00B04976"/>
    <w:rsid w:val="00B06523"/>
    <w:rsid w:val="00B065CF"/>
    <w:rsid w:val="00B13187"/>
    <w:rsid w:val="00B1325E"/>
    <w:rsid w:val="00B142BB"/>
    <w:rsid w:val="00B14EAF"/>
    <w:rsid w:val="00B15457"/>
    <w:rsid w:val="00B15B94"/>
    <w:rsid w:val="00B16230"/>
    <w:rsid w:val="00B16ADA"/>
    <w:rsid w:val="00B20264"/>
    <w:rsid w:val="00B20D6B"/>
    <w:rsid w:val="00B216F3"/>
    <w:rsid w:val="00B22E99"/>
    <w:rsid w:val="00B230B2"/>
    <w:rsid w:val="00B23D3E"/>
    <w:rsid w:val="00B23F95"/>
    <w:rsid w:val="00B244F4"/>
    <w:rsid w:val="00B26B66"/>
    <w:rsid w:val="00B26E3B"/>
    <w:rsid w:val="00B275B5"/>
    <w:rsid w:val="00B277C8"/>
    <w:rsid w:val="00B300D7"/>
    <w:rsid w:val="00B30923"/>
    <w:rsid w:val="00B3172A"/>
    <w:rsid w:val="00B317FE"/>
    <w:rsid w:val="00B31AC0"/>
    <w:rsid w:val="00B3297C"/>
    <w:rsid w:val="00B33CD6"/>
    <w:rsid w:val="00B35A08"/>
    <w:rsid w:val="00B35B86"/>
    <w:rsid w:val="00B3607C"/>
    <w:rsid w:val="00B36265"/>
    <w:rsid w:val="00B36F62"/>
    <w:rsid w:val="00B41844"/>
    <w:rsid w:val="00B424EC"/>
    <w:rsid w:val="00B428DE"/>
    <w:rsid w:val="00B44458"/>
    <w:rsid w:val="00B453CA"/>
    <w:rsid w:val="00B45DAA"/>
    <w:rsid w:val="00B51C3D"/>
    <w:rsid w:val="00B522E2"/>
    <w:rsid w:val="00B53AD4"/>
    <w:rsid w:val="00B53B0E"/>
    <w:rsid w:val="00B60040"/>
    <w:rsid w:val="00B6159A"/>
    <w:rsid w:val="00B625F9"/>
    <w:rsid w:val="00B63BF9"/>
    <w:rsid w:val="00B64E42"/>
    <w:rsid w:val="00B653E2"/>
    <w:rsid w:val="00B6548E"/>
    <w:rsid w:val="00B65FA1"/>
    <w:rsid w:val="00B65FC2"/>
    <w:rsid w:val="00B66482"/>
    <w:rsid w:val="00B66686"/>
    <w:rsid w:val="00B669EF"/>
    <w:rsid w:val="00B67A88"/>
    <w:rsid w:val="00B70A6F"/>
    <w:rsid w:val="00B70ED6"/>
    <w:rsid w:val="00B710F1"/>
    <w:rsid w:val="00B724B3"/>
    <w:rsid w:val="00B72DD7"/>
    <w:rsid w:val="00B730EE"/>
    <w:rsid w:val="00B748F7"/>
    <w:rsid w:val="00B77DA8"/>
    <w:rsid w:val="00B81207"/>
    <w:rsid w:val="00B8130F"/>
    <w:rsid w:val="00B81586"/>
    <w:rsid w:val="00B81D62"/>
    <w:rsid w:val="00B81ED1"/>
    <w:rsid w:val="00B82578"/>
    <w:rsid w:val="00B83A18"/>
    <w:rsid w:val="00B844F0"/>
    <w:rsid w:val="00B86AC7"/>
    <w:rsid w:val="00B87431"/>
    <w:rsid w:val="00B902AB"/>
    <w:rsid w:val="00B90DF6"/>
    <w:rsid w:val="00B91079"/>
    <w:rsid w:val="00B95002"/>
    <w:rsid w:val="00B976CA"/>
    <w:rsid w:val="00B9770C"/>
    <w:rsid w:val="00B97752"/>
    <w:rsid w:val="00B978EE"/>
    <w:rsid w:val="00BA0528"/>
    <w:rsid w:val="00BA28D2"/>
    <w:rsid w:val="00BA28E9"/>
    <w:rsid w:val="00BA5A38"/>
    <w:rsid w:val="00BA6D93"/>
    <w:rsid w:val="00BA77C7"/>
    <w:rsid w:val="00BA7FEA"/>
    <w:rsid w:val="00BB03EF"/>
    <w:rsid w:val="00BB04E6"/>
    <w:rsid w:val="00BB192A"/>
    <w:rsid w:val="00BB255F"/>
    <w:rsid w:val="00BB2A59"/>
    <w:rsid w:val="00BB68C0"/>
    <w:rsid w:val="00BB7978"/>
    <w:rsid w:val="00BC24DB"/>
    <w:rsid w:val="00BC2AE6"/>
    <w:rsid w:val="00BC34E0"/>
    <w:rsid w:val="00BC3507"/>
    <w:rsid w:val="00BC4A97"/>
    <w:rsid w:val="00BC54FF"/>
    <w:rsid w:val="00BC5759"/>
    <w:rsid w:val="00BC5922"/>
    <w:rsid w:val="00BC66F2"/>
    <w:rsid w:val="00BC689B"/>
    <w:rsid w:val="00BC6D0C"/>
    <w:rsid w:val="00BC789A"/>
    <w:rsid w:val="00BD0536"/>
    <w:rsid w:val="00BD0CA2"/>
    <w:rsid w:val="00BD1088"/>
    <w:rsid w:val="00BD30DC"/>
    <w:rsid w:val="00BD367B"/>
    <w:rsid w:val="00BD3823"/>
    <w:rsid w:val="00BD457B"/>
    <w:rsid w:val="00BD5AE2"/>
    <w:rsid w:val="00BD61C9"/>
    <w:rsid w:val="00BD633A"/>
    <w:rsid w:val="00BD71B9"/>
    <w:rsid w:val="00BE160B"/>
    <w:rsid w:val="00BE415A"/>
    <w:rsid w:val="00BE58C5"/>
    <w:rsid w:val="00BE639B"/>
    <w:rsid w:val="00BE760C"/>
    <w:rsid w:val="00BF03E1"/>
    <w:rsid w:val="00BF095F"/>
    <w:rsid w:val="00BF134F"/>
    <w:rsid w:val="00BF1388"/>
    <w:rsid w:val="00BF4BE4"/>
    <w:rsid w:val="00BF561D"/>
    <w:rsid w:val="00BF6046"/>
    <w:rsid w:val="00BF7081"/>
    <w:rsid w:val="00C0115A"/>
    <w:rsid w:val="00C02496"/>
    <w:rsid w:val="00C03FEC"/>
    <w:rsid w:val="00C0557D"/>
    <w:rsid w:val="00C05FE6"/>
    <w:rsid w:val="00C068B0"/>
    <w:rsid w:val="00C06C21"/>
    <w:rsid w:val="00C0703F"/>
    <w:rsid w:val="00C0729C"/>
    <w:rsid w:val="00C07522"/>
    <w:rsid w:val="00C104AA"/>
    <w:rsid w:val="00C10838"/>
    <w:rsid w:val="00C12E14"/>
    <w:rsid w:val="00C130ED"/>
    <w:rsid w:val="00C1497D"/>
    <w:rsid w:val="00C164FD"/>
    <w:rsid w:val="00C168B1"/>
    <w:rsid w:val="00C16CCB"/>
    <w:rsid w:val="00C176CE"/>
    <w:rsid w:val="00C17A0F"/>
    <w:rsid w:val="00C21A32"/>
    <w:rsid w:val="00C21E3F"/>
    <w:rsid w:val="00C22901"/>
    <w:rsid w:val="00C24346"/>
    <w:rsid w:val="00C252D3"/>
    <w:rsid w:val="00C2614F"/>
    <w:rsid w:val="00C263D3"/>
    <w:rsid w:val="00C27CE0"/>
    <w:rsid w:val="00C34216"/>
    <w:rsid w:val="00C34491"/>
    <w:rsid w:val="00C34906"/>
    <w:rsid w:val="00C35358"/>
    <w:rsid w:val="00C3555A"/>
    <w:rsid w:val="00C36ACF"/>
    <w:rsid w:val="00C37274"/>
    <w:rsid w:val="00C40329"/>
    <w:rsid w:val="00C44252"/>
    <w:rsid w:val="00C44EFF"/>
    <w:rsid w:val="00C44F11"/>
    <w:rsid w:val="00C45A66"/>
    <w:rsid w:val="00C45A8E"/>
    <w:rsid w:val="00C45B9B"/>
    <w:rsid w:val="00C45F10"/>
    <w:rsid w:val="00C46612"/>
    <w:rsid w:val="00C501DE"/>
    <w:rsid w:val="00C5234D"/>
    <w:rsid w:val="00C52502"/>
    <w:rsid w:val="00C52834"/>
    <w:rsid w:val="00C54A24"/>
    <w:rsid w:val="00C54F4C"/>
    <w:rsid w:val="00C54FD4"/>
    <w:rsid w:val="00C5731E"/>
    <w:rsid w:val="00C5769C"/>
    <w:rsid w:val="00C60BBF"/>
    <w:rsid w:val="00C61E9B"/>
    <w:rsid w:val="00C62021"/>
    <w:rsid w:val="00C64D9D"/>
    <w:rsid w:val="00C6559D"/>
    <w:rsid w:val="00C65AA6"/>
    <w:rsid w:val="00C65DED"/>
    <w:rsid w:val="00C664C1"/>
    <w:rsid w:val="00C67EC9"/>
    <w:rsid w:val="00C707C5"/>
    <w:rsid w:val="00C708C6"/>
    <w:rsid w:val="00C71182"/>
    <w:rsid w:val="00C723B0"/>
    <w:rsid w:val="00C72811"/>
    <w:rsid w:val="00C73435"/>
    <w:rsid w:val="00C73E4B"/>
    <w:rsid w:val="00C7430F"/>
    <w:rsid w:val="00C75588"/>
    <w:rsid w:val="00C75CC1"/>
    <w:rsid w:val="00C80344"/>
    <w:rsid w:val="00C807FE"/>
    <w:rsid w:val="00C80DA8"/>
    <w:rsid w:val="00C81AAF"/>
    <w:rsid w:val="00C8314C"/>
    <w:rsid w:val="00C84223"/>
    <w:rsid w:val="00C85F9D"/>
    <w:rsid w:val="00C86577"/>
    <w:rsid w:val="00C86AF4"/>
    <w:rsid w:val="00C86B73"/>
    <w:rsid w:val="00C87113"/>
    <w:rsid w:val="00C87F6A"/>
    <w:rsid w:val="00C90780"/>
    <w:rsid w:val="00C908E2"/>
    <w:rsid w:val="00C91211"/>
    <w:rsid w:val="00C93717"/>
    <w:rsid w:val="00C95105"/>
    <w:rsid w:val="00C969D5"/>
    <w:rsid w:val="00C96B52"/>
    <w:rsid w:val="00C979CB"/>
    <w:rsid w:val="00CA2EB3"/>
    <w:rsid w:val="00CA31B6"/>
    <w:rsid w:val="00CA476B"/>
    <w:rsid w:val="00CA6896"/>
    <w:rsid w:val="00CA6C6D"/>
    <w:rsid w:val="00CA7DD7"/>
    <w:rsid w:val="00CB0A88"/>
    <w:rsid w:val="00CB187A"/>
    <w:rsid w:val="00CB2166"/>
    <w:rsid w:val="00CB232F"/>
    <w:rsid w:val="00CB25E5"/>
    <w:rsid w:val="00CB4190"/>
    <w:rsid w:val="00CB6D66"/>
    <w:rsid w:val="00CB7881"/>
    <w:rsid w:val="00CC0D3C"/>
    <w:rsid w:val="00CC30B7"/>
    <w:rsid w:val="00CC52EA"/>
    <w:rsid w:val="00CC582C"/>
    <w:rsid w:val="00CC7E73"/>
    <w:rsid w:val="00CD10C3"/>
    <w:rsid w:val="00CD10C6"/>
    <w:rsid w:val="00CD1C34"/>
    <w:rsid w:val="00CD25DB"/>
    <w:rsid w:val="00CD26A3"/>
    <w:rsid w:val="00CD2BD4"/>
    <w:rsid w:val="00CD2FA7"/>
    <w:rsid w:val="00CD338D"/>
    <w:rsid w:val="00CD4CCE"/>
    <w:rsid w:val="00CD51AC"/>
    <w:rsid w:val="00CD6528"/>
    <w:rsid w:val="00CD68C1"/>
    <w:rsid w:val="00CD77A7"/>
    <w:rsid w:val="00CE13D5"/>
    <w:rsid w:val="00CE282C"/>
    <w:rsid w:val="00CE2DB4"/>
    <w:rsid w:val="00CE3417"/>
    <w:rsid w:val="00CE36AC"/>
    <w:rsid w:val="00CE3C0E"/>
    <w:rsid w:val="00CE5801"/>
    <w:rsid w:val="00CE5CE4"/>
    <w:rsid w:val="00CE67F9"/>
    <w:rsid w:val="00CE6E17"/>
    <w:rsid w:val="00CE6F6C"/>
    <w:rsid w:val="00CE70D3"/>
    <w:rsid w:val="00CE7451"/>
    <w:rsid w:val="00CF02ED"/>
    <w:rsid w:val="00CF20E8"/>
    <w:rsid w:val="00CF25FF"/>
    <w:rsid w:val="00CF29E8"/>
    <w:rsid w:val="00CF3376"/>
    <w:rsid w:val="00CF64B7"/>
    <w:rsid w:val="00CF688C"/>
    <w:rsid w:val="00CF6D8C"/>
    <w:rsid w:val="00CF6DEE"/>
    <w:rsid w:val="00CF6FD5"/>
    <w:rsid w:val="00CF70D7"/>
    <w:rsid w:val="00CF72AF"/>
    <w:rsid w:val="00D00B5D"/>
    <w:rsid w:val="00D013C6"/>
    <w:rsid w:val="00D02508"/>
    <w:rsid w:val="00D02CEB"/>
    <w:rsid w:val="00D04808"/>
    <w:rsid w:val="00D04C04"/>
    <w:rsid w:val="00D056C9"/>
    <w:rsid w:val="00D05DCF"/>
    <w:rsid w:val="00D064F1"/>
    <w:rsid w:val="00D108CD"/>
    <w:rsid w:val="00D11D53"/>
    <w:rsid w:val="00D122C6"/>
    <w:rsid w:val="00D134C0"/>
    <w:rsid w:val="00D1358C"/>
    <w:rsid w:val="00D17006"/>
    <w:rsid w:val="00D17F1F"/>
    <w:rsid w:val="00D20D6F"/>
    <w:rsid w:val="00D22747"/>
    <w:rsid w:val="00D22C00"/>
    <w:rsid w:val="00D23D50"/>
    <w:rsid w:val="00D25990"/>
    <w:rsid w:val="00D26EEF"/>
    <w:rsid w:val="00D27095"/>
    <w:rsid w:val="00D301C1"/>
    <w:rsid w:val="00D30200"/>
    <w:rsid w:val="00D30789"/>
    <w:rsid w:val="00D30915"/>
    <w:rsid w:val="00D30DE0"/>
    <w:rsid w:val="00D30EFC"/>
    <w:rsid w:val="00D32DD2"/>
    <w:rsid w:val="00D33091"/>
    <w:rsid w:val="00D333AB"/>
    <w:rsid w:val="00D33559"/>
    <w:rsid w:val="00D3449E"/>
    <w:rsid w:val="00D346C0"/>
    <w:rsid w:val="00D354C2"/>
    <w:rsid w:val="00D3581F"/>
    <w:rsid w:val="00D407C5"/>
    <w:rsid w:val="00D40A5B"/>
    <w:rsid w:val="00D411AA"/>
    <w:rsid w:val="00D4157D"/>
    <w:rsid w:val="00D418AE"/>
    <w:rsid w:val="00D42C57"/>
    <w:rsid w:val="00D42FCD"/>
    <w:rsid w:val="00D4335E"/>
    <w:rsid w:val="00D43B0C"/>
    <w:rsid w:val="00D44199"/>
    <w:rsid w:val="00D44A68"/>
    <w:rsid w:val="00D44A91"/>
    <w:rsid w:val="00D450BB"/>
    <w:rsid w:val="00D4533B"/>
    <w:rsid w:val="00D45E0C"/>
    <w:rsid w:val="00D46960"/>
    <w:rsid w:val="00D46B65"/>
    <w:rsid w:val="00D50595"/>
    <w:rsid w:val="00D51D1A"/>
    <w:rsid w:val="00D52C44"/>
    <w:rsid w:val="00D547C7"/>
    <w:rsid w:val="00D56168"/>
    <w:rsid w:val="00D56203"/>
    <w:rsid w:val="00D57045"/>
    <w:rsid w:val="00D57473"/>
    <w:rsid w:val="00D611AA"/>
    <w:rsid w:val="00D6125E"/>
    <w:rsid w:val="00D6138B"/>
    <w:rsid w:val="00D61932"/>
    <w:rsid w:val="00D61F69"/>
    <w:rsid w:val="00D644CE"/>
    <w:rsid w:val="00D65494"/>
    <w:rsid w:val="00D66734"/>
    <w:rsid w:val="00D66BCC"/>
    <w:rsid w:val="00D67A1D"/>
    <w:rsid w:val="00D70396"/>
    <w:rsid w:val="00D716B3"/>
    <w:rsid w:val="00D72A0A"/>
    <w:rsid w:val="00D72E57"/>
    <w:rsid w:val="00D730F6"/>
    <w:rsid w:val="00D73C33"/>
    <w:rsid w:val="00D742BB"/>
    <w:rsid w:val="00D74516"/>
    <w:rsid w:val="00D7454F"/>
    <w:rsid w:val="00D74CF5"/>
    <w:rsid w:val="00D7506D"/>
    <w:rsid w:val="00D756DA"/>
    <w:rsid w:val="00D75919"/>
    <w:rsid w:val="00D76171"/>
    <w:rsid w:val="00D7743F"/>
    <w:rsid w:val="00D7751B"/>
    <w:rsid w:val="00D81EB9"/>
    <w:rsid w:val="00D84134"/>
    <w:rsid w:val="00D853F4"/>
    <w:rsid w:val="00D85DA1"/>
    <w:rsid w:val="00D86DEF"/>
    <w:rsid w:val="00D87076"/>
    <w:rsid w:val="00D90D61"/>
    <w:rsid w:val="00D90F92"/>
    <w:rsid w:val="00D9292A"/>
    <w:rsid w:val="00D92EB4"/>
    <w:rsid w:val="00D95E6D"/>
    <w:rsid w:val="00D976E1"/>
    <w:rsid w:val="00DA1938"/>
    <w:rsid w:val="00DA2FCE"/>
    <w:rsid w:val="00DA44E7"/>
    <w:rsid w:val="00DA459F"/>
    <w:rsid w:val="00DA5680"/>
    <w:rsid w:val="00DA5812"/>
    <w:rsid w:val="00DA6846"/>
    <w:rsid w:val="00DA6C02"/>
    <w:rsid w:val="00DB00CB"/>
    <w:rsid w:val="00DB0E37"/>
    <w:rsid w:val="00DB1103"/>
    <w:rsid w:val="00DB4232"/>
    <w:rsid w:val="00DB430A"/>
    <w:rsid w:val="00DB50CB"/>
    <w:rsid w:val="00DC0171"/>
    <w:rsid w:val="00DC0963"/>
    <w:rsid w:val="00DC23F3"/>
    <w:rsid w:val="00DC2A22"/>
    <w:rsid w:val="00DC2D02"/>
    <w:rsid w:val="00DC4216"/>
    <w:rsid w:val="00DC4BA8"/>
    <w:rsid w:val="00DC4D8E"/>
    <w:rsid w:val="00DC54EE"/>
    <w:rsid w:val="00DC570D"/>
    <w:rsid w:val="00DC5C7D"/>
    <w:rsid w:val="00DD232B"/>
    <w:rsid w:val="00DD282C"/>
    <w:rsid w:val="00DD2E81"/>
    <w:rsid w:val="00DD4C1E"/>
    <w:rsid w:val="00DD5833"/>
    <w:rsid w:val="00DD5DDE"/>
    <w:rsid w:val="00DD61F8"/>
    <w:rsid w:val="00DD76CD"/>
    <w:rsid w:val="00DD7DBC"/>
    <w:rsid w:val="00DE0A75"/>
    <w:rsid w:val="00DE1458"/>
    <w:rsid w:val="00DE1583"/>
    <w:rsid w:val="00DE3C42"/>
    <w:rsid w:val="00DE3EBD"/>
    <w:rsid w:val="00DE52AA"/>
    <w:rsid w:val="00DE6BBF"/>
    <w:rsid w:val="00DE7D92"/>
    <w:rsid w:val="00DF09BB"/>
    <w:rsid w:val="00DF1688"/>
    <w:rsid w:val="00DF26CC"/>
    <w:rsid w:val="00DF3506"/>
    <w:rsid w:val="00DF359D"/>
    <w:rsid w:val="00DF4355"/>
    <w:rsid w:val="00DF4651"/>
    <w:rsid w:val="00DF4B46"/>
    <w:rsid w:val="00DF4BFF"/>
    <w:rsid w:val="00DF5F6F"/>
    <w:rsid w:val="00DF7090"/>
    <w:rsid w:val="00DF78C6"/>
    <w:rsid w:val="00E00717"/>
    <w:rsid w:val="00E008E6"/>
    <w:rsid w:val="00E00F45"/>
    <w:rsid w:val="00E012A6"/>
    <w:rsid w:val="00E0184D"/>
    <w:rsid w:val="00E01BF3"/>
    <w:rsid w:val="00E01C9F"/>
    <w:rsid w:val="00E032EF"/>
    <w:rsid w:val="00E0353A"/>
    <w:rsid w:val="00E042D4"/>
    <w:rsid w:val="00E04925"/>
    <w:rsid w:val="00E04A34"/>
    <w:rsid w:val="00E04C83"/>
    <w:rsid w:val="00E05FF1"/>
    <w:rsid w:val="00E0635A"/>
    <w:rsid w:val="00E06654"/>
    <w:rsid w:val="00E06E92"/>
    <w:rsid w:val="00E071A3"/>
    <w:rsid w:val="00E101B7"/>
    <w:rsid w:val="00E1093E"/>
    <w:rsid w:val="00E10F76"/>
    <w:rsid w:val="00E11EBA"/>
    <w:rsid w:val="00E12DF0"/>
    <w:rsid w:val="00E12F23"/>
    <w:rsid w:val="00E14924"/>
    <w:rsid w:val="00E14E57"/>
    <w:rsid w:val="00E156BD"/>
    <w:rsid w:val="00E15760"/>
    <w:rsid w:val="00E20492"/>
    <w:rsid w:val="00E22888"/>
    <w:rsid w:val="00E237FA"/>
    <w:rsid w:val="00E24CC8"/>
    <w:rsid w:val="00E25164"/>
    <w:rsid w:val="00E258A9"/>
    <w:rsid w:val="00E26728"/>
    <w:rsid w:val="00E305E7"/>
    <w:rsid w:val="00E3259A"/>
    <w:rsid w:val="00E32C83"/>
    <w:rsid w:val="00E34CFB"/>
    <w:rsid w:val="00E351F7"/>
    <w:rsid w:val="00E36ACD"/>
    <w:rsid w:val="00E36CCA"/>
    <w:rsid w:val="00E370A0"/>
    <w:rsid w:val="00E3793F"/>
    <w:rsid w:val="00E37B6C"/>
    <w:rsid w:val="00E40D51"/>
    <w:rsid w:val="00E4115B"/>
    <w:rsid w:val="00E427B7"/>
    <w:rsid w:val="00E43066"/>
    <w:rsid w:val="00E436F3"/>
    <w:rsid w:val="00E447D9"/>
    <w:rsid w:val="00E46F63"/>
    <w:rsid w:val="00E5080A"/>
    <w:rsid w:val="00E51E7E"/>
    <w:rsid w:val="00E52998"/>
    <w:rsid w:val="00E53535"/>
    <w:rsid w:val="00E54955"/>
    <w:rsid w:val="00E5548A"/>
    <w:rsid w:val="00E55BEC"/>
    <w:rsid w:val="00E5609D"/>
    <w:rsid w:val="00E571B7"/>
    <w:rsid w:val="00E60419"/>
    <w:rsid w:val="00E61431"/>
    <w:rsid w:val="00E61F90"/>
    <w:rsid w:val="00E62480"/>
    <w:rsid w:val="00E6477C"/>
    <w:rsid w:val="00E64C76"/>
    <w:rsid w:val="00E64D01"/>
    <w:rsid w:val="00E6679D"/>
    <w:rsid w:val="00E66BB5"/>
    <w:rsid w:val="00E66F39"/>
    <w:rsid w:val="00E67DD7"/>
    <w:rsid w:val="00E726A5"/>
    <w:rsid w:val="00E7303C"/>
    <w:rsid w:val="00E73396"/>
    <w:rsid w:val="00E73B9F"/>
    <w:rsid w:val="00E73DEF"/>
    <w:rsid w:val="00E75A60"/>
    <w:rsid w:val="00E760B8"/>
    <w:rsid w:val="00E7719D"/>
    <w:rsid w:val="00E77398"/>
    <w:rsid w:val="00E805E0"/>
    <w:rsid w:val="00E807B7"/>
    <w:rsid w:val="00E83472"/>
    <w:rsid w:val="00E83906"/>
    <w:rsid w:val="00E85B75"/>
    <w:rsid w:val="00E8601B"/>
    <w:rsid w:val="00E875EC"/>
    <w:rsid w:val="00E87789"/>
    <w:rsid w:val="00E87EA6"/>
    <w:rsid w:val="00E908FB"/>
    <w:rsid w:val="00E90EC4"/>
    <w:rsid w:val="00E91A2D"/>
    <w:rsid w:val="00E91D1E"/>
    <w:rsid w:val="00E93401"/>
    <w:rsid w:val="00E9391A"/>
    <w:rsid w:val="00E939C6"/>
    <w:rsid w:val="00E939E8"/>
    <w:rsid w:val="00E94EA8"/>
    <w:rsid w:val="00E95456"/>
    <w:rsid w:val="00E95DA5"/>
    <w:rsid w:val="00E961E7"/>
    <w:rsid w:val="00E9708B"/>
    <w:rsid w:val="00E97401"/>
    <w:rsid w:val="00E97FE4"/>
    <w:rsid w:val="00EA23B8"/>
    <w:rsid w:val="00EA24CF"/>
    <w:rsid w:val="00EA2E80"/>
    <w:rsid w:val="00EA3600"/>
    <w:rsid w:val="00EA408E"/>
    <w:rsid w:val="00EA4444"/>
    <w:rsid w:val="00EA4517"/>
    <w:rsid w:val="00EA4D6D"/>
    <w:rsid w:val="00EA6574"/>
    <w:rsid w:val="00EA7B87"/>
    <w:rsid w:val="00EA7E8C"/>
    <w:rsid w:val="00EB0257"/>
    <w:rsid w:val="00EB060E"/>
    <w:rsid w:val="00EB0C60"/>
    <w:rsid w:val="00EB10FD"/>
    <w:rsid w:val="00EB1863"/>
    <w:rsid w:val="00EB2102"/>
    <w:rsid w:val="00EB26AC"/>
    <w:rsid w:val="00EB2B1D"/>
    <w:rsid w:val="00EB4A21"/>
    <w:rsid w:val="00EB5585"/>
    <w:rsid w:val="00EB56E2"/>
    <w:rsid w:val="00EB5FAF"/>
    <w:rsid w:val="00EB652A"/>
    <w:rsid w:val="00EB79B4"/>
    <w:rsid w:val="00EC0FC5"/>
    <w:rsid w:val="00EC1242"/>
    <w:rsid w:val="00EC235C"/>
    <w:rsid w:val="00EC2EFE"/>
    <w:rsid w:val="00EC44DD"/>
    <w:rsid w:val="00EC54A6"/>
    <w:rsid w:val="00ED0418"/>
    <w:rsid w:val="00ED0C24"/>
    <w:rsid w:val="00ED0ED3"/>
    <w:rsid w:val="00ED14E5"/>
    <w:rsid w:val="00ED2E0A"/>
    <w:rsid w:val="00ED32ED"/>
    <w:rsid w:val="00ED51EA"/>
    <w:rsid w:val="00ED7F9F"/>
    <w:rsid w:val="00EE0BCF"/>
    <w:rsid w:val="00EE1487"/>
    <w:rsid w:val="00EE2A24"/>
    <w:rsid w:val="00EE2D05"/>
    <w:rsid w:val="00EE32FE"/>
    <w:rsid w:val="00EE33E8"/>
    <w:rsid w:val="00EE3879"/>
    <w:rsid w:val="00EE4180"/>
    <w:rsid w:val="00EE5F51"/>
    <w:rsid w:val="00EE78CB"/>
    <w:rsid w:val="00EE79A4"/>
    <w:rsid w:val="00EF0BC9"/>
    <w:rsid w:val="00EF28C1"/>
    <w:rsid w:val="00EF2E86"/>
    <w:rsid w:val="00EF36C2"/>
    <w:rsid w:val="00EF6A6C"/>
    <w:rsid w:val="00F00725"/>
    <w:rsid w:val="00F00CDA"/>
    <w:rsid w:val="00F022F2"/>
    <w:rsid w:val="00F0275C"/>
    <w:rsid w:val="00F02CEF"/>
    <w:rsid w:val="00F036E7"/>
    <w:rsid w:val="00F038C8"/>
    <w:rsid w:val="00F039AB"/>
    <w:rsid w:val="00F03BD3"/>
    <w:rsid w:val="00F043E1"/>
    <w:rsid w:val="00F047EA"/>
    <w:rsid w:val="00F04A53"/>
    <w:rsid w:val="00F04F4F"/>
    <w:rsid w:val="00F04F51"/>
    <w:rsid w:val="00F06201"/>
    <w:rsid w:val="00F06D7F"/>
    <w:rsid w:val="00F06E57"/>
    <w:rsid w:val="00F0722A"/>
    <w:rsid w:val="00F11671"/>
    <w:rsid w:val="00F116BD"/>
    <w:rsid w:val="00F11D4A"/>
    <w:rsid w:val="00F120EC"/>
    <w:rsid w:val="00F134BE"/>
    <w:rsid w:val="00F13B2D"/>
    <w:rsid w:val="00F13B45"/>
    <w:rsid w:val="00F157F3"/>
    <w:rsid w:val="00F160D5"/>
    <w:rsid w:val="00F20C18"/>
    <w:rsid w:val="00F22178"/>
    <w:rsid w:val="00F2362A"/>
    <w:rsid w:val="00F24820"/>
    <w:rsid w:val="00F24A1A"/>
    <w:rsid w:val="00F24DD9"/>
    <w:rsid w:val="00F25880"/>
    <w:rsid w:val="00F25EC0"/>
    <w:rsid w:val="00F26001"/>
    <w:rsid w:val="00F30444"/>
    <w:rsid w:val="00F3160B"/>
    <w:rsid w:val="00F3238A"/>
    <w:rsid w:val="00F33040"/>
    <w:rsid w:val="00F33052"/>
    <w:rsid w:val="00F33D02"/>
    <w:rsid w:val="00F34884"/>
    <w:rsid w:val="00F357BD"/>
    <w:rsid w:val="00F4107B"/>
    <w:rsid w:val="00F4117B"/>
    <w:rsid w:val="00F41451"/>
    <w:rsid w:val="00F4177B"/>
    <w:rsid w:val="00F425D2"/>
    <w:rsid w:val="00F44D6A"/>
    <w:rsid w:val="00F4544E"/>
    <w:rsid w:val="00F46BF1"/>
    <w:rsid w:val="00F46E24"/>
    <w:rsid w:val="00F477F3"/>
    <w:rsid w:val="00F47D52"/>
    <w:rsid w:val="00F500DD"/>
    <w:rsid w:val="00F50DC3"/>
    <w:rsid w:val="00F519D0"/>
    <w:rsid w:val="00F51D9F"/>
    <w:rsid w:val="00F52796"/>
    <w:rsid w:val="00F549E7"/>
    <w:rsid w:val="00F553B6"/>
    <w:rsid w:val="00F5540C"/>
    <w:rsid w:val="00F5574D"/>
    <w:rsid w:val="00F55ACB"/>
    <w:rsid w:val="00F55E1A"/>
    <w:rsid w:val="00F5751A"/>
    <w:rsid w:val="00F602BD"/>
    <w:rsid w:val="00F60B40"/>
    <w:rsid w:val="00F61559"/>
    <w:rsid w:val="00F61587"/>
    <w:rsid w:val="00F6159F"/>
    <w:rsid w:val="00F62F1B"/>
    <w:rsid w:val="00F64E18"/>
    <w:rsid w:val="00F66009"/>
    <w:rsid w:val="00F66DEC"/>
    <w:rsid w:val="00F70B62"/>
    <w:rsid w:val="00F70EFF"/>
    <w:rsid w:val="00F71761"/>
    <w:rsid w:val="00F73211"/>
    <w:rsid w:val="00F734FD"/>
    <w:rsid w:val="00F73CE7"/>
    <w:rsid w:val="00F73E44"/>
    <w:rsid w:val="00F74146"/>
    <w:rsid w:val="00F74DD3"/>
    <w:rsid w:val="00F76237"/>
    <w:rsid w:val="00F7780F"/>
    <w:rsid w:val="00F80717"/>
    <w:rsid w:val="00F81F00"/>
    <w:rsid w:val="00F81FAF"/>
    <w:rsid w:val="00F85100"/>
    <w:rsid w:val="00F86834"/>
    <w:rsid w:val="00F90357"/>
    <w:rsid w:val="00F9048F"/>
    <w:rsid w:val="00F9166E"/>
    <w:rsid w:val="00F91D12"/>
    <w:rsid w:val="00F93D29"/>
    <w:rsid w:val="00F94EA7"/>
    <w:rsid w:val="00F955D9"/>
    <w:rsid w:val="00F960A7"/>
    <w:rsid w:val="00F96EC2"/>
    <w:rsid w:val="00F97651"/>
    <w:rsid w:val="00F976EE"/>
    <w:rsid w:val="00F97D58"/>
    <w:rsid w:val="00FA098B"/>
    <w:rsid w:val="00FA0CAC"/>
    <w:rsid w:val="00FA0D9C"/>
    <w:rsid w:val="00FA111D"/>
    <w:rsid w:val="00FA2D18"/>
    <w:rsid w:val="00FA4227"/>
    <w:rsid w:val="00FA4783"/>
    <w:rsid w:val="00FA490F"/>
    <w:rsid w:val="00FA72E7"/>
    <w:rsid w:val="00FB1DC1"/>
    <w:rsid w:val="00FB1F95"/>
    <w:rsid w:val="00FB2203"/>
    <w:rsid w:val="00FB415A"/>
    <w:rsid w:val="00FB44C5"/>
    <w:rsid w:val="00FB6063"/>
    <w:rsid w:val="00FB6D2D"/>
    <w:rsid w:val="00FB71F8"/>
    <w:rsid w:val="00FB7698"/>
    <w:rsid w:val="00FC3372"/>
    <w:rsid w:val="00FC3C19"/>
    <w:rsid w:val="00FC5C64"/>
    <w:rsid w:val="00FC6621"/>
    <w:rsid w:val="00FC7B3B"/>
    <w:rsid w:val="00FC7E65"/>
    <w:rsid w:val="00FD075C"/>
    <w:rsid w:val="00FD1F45"/>
    <w:rsid w:val="00FD2E97"/>
    <w:rsid w:val="00FD3125"/>
    <w:rsid w:val="00FD3BAD"/>
    <w:rsid w:val="00FD5510"/>
    <w:rsid w:val="00FD5AE0"/>
    <w:rsid w:val="00FE04CF"/>
    <w:rsid w:val="00FE146A"/>
    <w:rsid w:val="00FE1715"/>
    <w:rsid w:val="00FE3188"/>
    <w:rsid w:val="00FE3E6F"/>
    <w:rsid w:val="00FE4889"/>
    <w:rsid w:val="00FE5171"/>
    <w:rsid w:val="00FE7E52"/>
    <w:rsid w:val="00FF1872"/>
    <w:rsid w:val="00FF35E9"/>
    <w:rsid w:val="00FF460A"/>
    <w:rsid w:val="00FF600A"/>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CF3A2"/>
  <w15:docId w15:val="{08200168-8CD5-47D7-907D-896F97D9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2B3DB4"/>
    <w:pPr>
      <w:keepNext/>
      <w:widowControl w:val="0"/>
      <w:numPr>
        <w:numId w:val="22"/>
      </w:numPr>
      <w:spacing w:before="240" w:after="240"/>
      <w:outlineLvl w:val="0"/>
    </w:pPr>
    <w:rPr>
      <w:rFonts w:ascii="Verdana" w:hAnsi="Verdana" w:cs="Arial"/>
      <w:b/>
      <w:bCs/>
      <w:caps/>
      <w:sz w:val="22"/>
      <w:szCs w:val="21"/>
    </w:rPr>
  </w:style>
  <w:style w:type="paragraph" w:styleId="Heading2">
    <w:name w:val="heading 2"/>
    <w:basedOn w:val="Normal"/>
    <w:next w:val="Normal"/>
    <w:link w:val="Heading2Char2"/>
    <w:qFormat/>
    <w:rsid w:val="002F6081"/>
    <w:pPr>
      <w:numPr>
        <w:ilvl w:val="1"/>
        <w:numId w:val="22"/>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22"/>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22"/>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6"/>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style>
  <w:style w:type="paragraph" w:styleId="Heading9">
    <w:name w:val="heading 9"/>
    <w:aliases w:val="H9,number,Legal Level 1.1.1.1.,Body Text 8,h9"/>
    <w:basedOn w:val="Normal"/>
    <w:link w:val="Heading9Char"/>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numPr>
        <w:numId w:val="0"/>
      </w:num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semiHidden/>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rsid w:val="002F6081"/>
    <w:rPr>
      <w:rFonts w:ascii="Verdana" w:hAnsi="Verdana"/>
      <w:bCs/>
      <w:szCs w:val="26"/>
      <w:lang w:eastAsia="en-US"/>
    </w:rPr>
  </w:style>
  <w:style w:type="character" w:customStyle="1" w:styleId="Heading2Char2">
    <w:name w:val="Heading 2 Char2"/>
    <w:basedOn w:val="DefaultParagraphFont"/>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character" w:customStyle="1" w:styleId="DefinedTerm">
    <w:name w:val="Defined Term"/>
    <w:uiPriority w:val="99"/>
    <w:rsid w:val="00EB5FAF"/>
    <w:rPr>
      <w:rFonts w:ascii="Arial" w:hAnsi="Arial"/>
      <w:b/>
      <w:bCs/>
    </w:rPr>
  </w:style>
  <w:style w:type="paragraph" w:styleId="Revision">
    <w:name w:val="Revision"/>
    <w:hidden/>
    <w:uiPriority w:val="99"/>
    <w:semiHidden/>
    <w:rsid w:val="002D52AF"/>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02423998">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08535730">
      <w:bodyDiv w:val="1"/>
      <w:marLeft w:val="0"/>
      <w:marRight w:val="0"/>
      <w:marTop w:val="0"/>
      <w:marBottom w:val="0"/>
      <w:divBdr>
        <w:top w:val="none" w:sz="0" w:space="0" w:color="auto"/>
        <w:left w:val="none" w:sz="0" w:space="0" w:color="auto"/>
        <w:bottom w:val="none" w:sz="0" w:space="0" w:color="auto"/>
        <w:right w:val="none" w:sz="0" w:space="0" w:color="auto"/>
      </w:divBdr>
    </w:div>
    <w:div w:id="908657636">
      <w:bodyDiv w:val="1"/>
      <w:marLeft w:val="0"/>
      <w:marRight w:val="0"/>
      <w:marTop w:val="0"/>
      <w:marBottom w:val="0"/>
      <w:divBdr>
        <w:top w:val="none" w:sz="0" w:space="0" w:color="auto"/>
        <w:left w:val="none" w:sz="0" w:space="0" w:color="auto"/>
        <w:bottom w:val="none" w:sz="0" w:space="0" w:color="auto"/>
        <w:right w:val="none" w:sz="0" w:space="0" w:color="auto"/>
      </w:divBdr>
    </w:div>
    <w:div w:id="925460828">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36124559">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telstra.com.au/customerterms/bus_mobile_general.htm" TargetMode="External"/><Relationship Id="rId26" Type="http://schemas.openxmlformats.org/officeDocument/2006/relationships/hyperlink" Target="https://www.telstra.com.au/customer-terms/business-government/telstra-mobile/managing-calls" TargetMode="External"/><Relationship Id="rId39" Type="http://schemas.openxmlformats.org/officeDocument/2006/relationships/hyperlink" Target="https://www.telstra.com.au/customer-terms/business-government/telstra-mobile/heading-overseas-international-roaming" TargetMode="External"/><Relationship Id="rId21" Type="http://schemas.openxmlformats.org/officeDocument/2006/relationships/hyperlink" Target="https://www.telstra.com.au/customer-terms/business-government/telstra-mobile/special-promotions" TargetMode="External"/><Relationship Id="rId34" Type="http://schemas.openxmlformats.org/officeDocument/2006/relationships/image" Target="media/image6.png"/><Relationship Id="rId42"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elstra.com.au/customer-terms/business-government/telstra-mobile/heading-overseas-international-roaming" TargetMode="External"/><Relationship Id="rId32" Type="http://schemas.openxmlformats.org/officeDocument/2006/relationships/hyperlink" Target="https://www.telstra.com.au/customer-terms/business-government" TargetMode="External"/><Relationship Id="rId37" Type="http://schemas.openxmlformats.org/officeDocument/2006/relationships/hyperlink" Target="https://www.telstra.com.au/customer-terms/business-government/telstra-mobile/other-call-types"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telstra.com.au/customer-terms/business-government/telstra-mobile/heading-overseas-international-roaming" TargetMode="External"/><Relationship Id="rId28" Type="http://schemas.openxmlformats.org/officeDocument/2006/relationships/hyperlink" Target="https://www.telstra.com.au/customer-terms/business-government/telstra-mobile/data-services" TargetMode="External"/><Relationship Id="rId36"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hyperlink" Target="http://www.telstra.com.au/customerterms/bus_government.htm" TargetMode="External"/><Relationship Id="rId31" Type="http://schemas.openxmlformats.org/officeDocument/2006/relationships/image" Target="media/image5.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telstra.com.au/customerterms/bus_mobile_general.htm" TargetMode="External"/><Relationship Id="rId27" Type="http://schemas.openxmlformats.org/officeDocument/2006/relationships/hyperlink" Target="https://www.telstra.com.au/customer-terms/business-government/telstra-mobile/heading-overseas-international-roaming" TargetMode="External"/><Relationship Id="rId30" Type="http://schemas.openxmlformats.org/officeDocument/2006/relationships/image" Target="media/image4.png"/><Relationship Id="rId35" Type="http://schemas.openxmlformats.org/officeDocument/2006/relationships/image" Target="media/image7.png"/><Relationship Id="rId43"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elstra.com.au/customer-terms/business-government/telstra-mobile/heading-overseas-international-roaming" TargetMode="External"/><Relationship Id="rId33" Type="http://schemas.openxmlformats.org/officeDocument/2006/relationships/hyperlink" Target="https://www.telstra.com.au/content/dam/tcom/our-customer-terms/business-government/pdf/intl-roaming.pdf" TargetMode="External"/><Relationship Id="rId38" Type="http://schemas.openxmlformats.org/officeDocument/2006/relationships/hyperlink" Target="file://C:\d231386\AppData\d797740\AppData\Local\AppData\Local\Microsoft\Windows\AppData\AppData\Local\Microsoft\Windows\AppData\Local\c918324\AppData\Local\Microsoft\Windows\Temporary%20Internet%20Files\Content.Outlook\LHGEBJV7\telstra.com.au\customer-terms\business-government\telstra-mobile\sms-and-messaging" TargetMode="External"/><Relationship Id="rId20" Type="http://schemas.openxmlformats.org/officeDocument/2006/relationships/hyperlink" Target="http://www.telstra.com.au/customerterms/bus_mobile_general.htm" TargetMode="External"/><Relationship Id="rId41"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Url xmlns="2a7a03ce-2042-4c5f-90e9-1f29c56988a9">
      <Url>https://teamtelstra.sharepoint.com/sites/DigitalSystems/_layouts/15/DocIdRedir.aspx?ID=AATUC-1823800632-81629</Url>
      <Description>AATUC-1823800632-81629</Description>
    </_dlc_DocIdUrl>
    <_dlc_DocId xmlns="2a7a03ce-2042-4c5f-90e9-1f29c56988a9">AATUC-1823800632-81629</_dlc_DocId>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549A35-6378-4BA4-BAED-629EBA790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3.xml><?xml version="1.0" encoding="utf-8"?>
<ds:datastoreItem xmlns:ds="http://schemas.openxmlformats.org/officeDocument/2006/customXml" ds:itemID="{A3BDAC4A-537A-438F-BB4D-4CE8E1194DBE}">
  <ds:schemaRefs>
    <ds:schemaRef ds:uri="http://schemas.microsoft.com/office/2006/metadata/properties"/>
    <ds:schemaRef ds:uri="2a7a03ce-2042-4c5f-90e9-1f29c56988a9"/>
    <ds:schemaRef ds:uri="c7b56d83-7d92-4d5e-8552-dd44030ff6cf"/>
    <ds:schemaRef ds:uri="f6374f94-ea7c-428a-97f4-b9a8f1ddd6c6"/>
    <ds:schemaRef ds:uri="http://schemas.microsoft.com/office/infopath/2007/PartnerControls"/>
  </ds:schemaRefs>
</ds:datastoreItem>
</file>

<file path=customXml/itemProps4.xml><?xml version="1.0" encoding="utf-8"?>
<ds:datastoreItem xmlns:ds="http://schemas.openxmlformats.org/officeDocument/2006/customXml" ds:itemID="{E72E9A7B-2AFA-46CF-8D57-9DBB928351B2}">
  <ds:schemaRefs>
    <ds:schemaRef ds:uri="http://schemas.openxmlformats.org/officeDocument/2006/bibliography"/>
  </ds:schemaRefs>
</ds:datastoreItem>
</file>

<file path=customXml/itemProps5.xml><?xml version="1.0" encoding="utf-8"?>
<ds:datastoreItem xmlns:ds="http://schemas.openxmlformats.org/officeDocument/2006/customXml" ds:itemID="{6722C0A1-3C72-4001-B73F-79D448931F8E}">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Telstra Our Customer Terms - Telstra Mobile - Corporate Mobile Plus Plans</vt:lpstr>
    </vt:vector>
  </TitlesOfParts>
  <Company>Telstra</Company>
  <LinksUpToDate>false</LinksUpToDate>
  <CharactersWithSpaces>20273</CharactersWithSpaces>
  <SharedDoc>false</SharedDoc>
  <HyperlinkBase/>
  <HLinks>
    <vt:vector size="72" baseType="variant">
      <vt:variant>
        <vt:i4>2687018</vt:i4>
      </vt:variant>
      <vt:variant>
        <vt:i4>60</vt:i4>
      </vt:variant>
      <vt:variant>
        <vt:i4>0</vt:i4>
      </vt:variant>
      <vt:variant>
        <vt:i4>5</vt:i4>
      </vt:variant>
      <vt:variant>
        <vt:lpwstr>http://www.telstra.com.au/customer-terms/business-government/index.htm</vt:lpwstr>
      </vt:variant>
      <vt:variant>
        <vt:lpwstr/>
      </vt:variant>
      <vt:variant>
        <vt:i4>327786</vt:i4>
      </vt:variant>
      <vt:variant>
        <vt:i4>57</vt:i4>
      </vt:variant>
      <vt:variant>
        <vt:i4>0</vt:i4>
      </vt:variant>
      <vt:variant>
        <vt:i4>5</vt:i4>
      </vt:variant>
      <vt:variant>
        <vt:lpwstr>http://www.telstra.com.au/customerterms/bus_government.htm</vt:lpwstr>
      </vt:variant>
      <vt:variant>
        <vt:lpwstr/>
      </vt:variant>
      <vt:variant>
        <vt:i4>2687018</vt:i4>
      </vt:variant>
      <vt:variant>
        <vt:i4>54</vt:i4>
      </vt:variant>
      <vt:variant>
        <vt:i4>0</vt:i4>
      </vt:variant>
      <vt:variant>
        <vt:i4>5</vt:i4>
      </vt:variant>
      <vt:variant>
        <vt:lpwstr>http://www.telstra.com.au/customer-terms/business-government/index.htm</vt:lpwstr>
      </vt:variant>
      <vt:variant>
        <vt:lpwstr/>
      </vt:variant>
      <vt:variant>
        <vt:i4>327786</vt:i4>
      </vt:variant>
      <vt:variant>
        <vt:i4>51</vt:i4>
      </vt:variant>
      <vt:variant>
        <vt:i4>0</vt:i4>
      </vt:variant>
      <vt:variant>
        <vt:i4>5</vt:i4>
      </vt:variant>
      <vt:variant>
        <vt:lpwstr>http://www.telstra.com.au/customerterms/bus_government.htm</vt:lpwstr>
      </vt:variant>
      <vt:variant>
        <vt:lpwstr/>
      </vt:variant>
      <vt:variant>
        <vt:i4>1245240</vt:i4>
      </vt:variant>
      <vt:variant>
        <vt:i4>44</vt:i4>
      </vt:variant>
      <vt:variant>
        <vt:i4>0</vt:i4>
      </vt:variant>
      <vt:variant>
        <vt:i4>5</vt:i4>
      </vt:variant>
      <vt:variant>
        <vt:lpwstr/>
      </vt:variant>
      <vt:variant>
        <vt:lpwstr>_Toc419117438</vt:lpwstr>
      </vt:variant>
      <vt:variant>
        <vt:i4>1245240</vt:i4>
      </vt:variant>
      <vt:variant>
        <vt:i4>38</vt:i4>
      </vt:variant>
      <vt:variant>
        <vt:i4>0</vt:i4>
      </vt:variant>
      <vt:variant>
        <vt:i4>5</vt:i4>
      </vt:variant>
      <vt:variant>
        <vt:lpwstr/>
      </vt:variant>
      <vt:variant>
        <vt:lpwstr>_Toc419117437</vt:lpwstr>
      </vt:variant>
      <vt:variant>
        <vt:i4>1245240</vt:i4>
      </vt:variant>
      <vt:variant>
        <vt:i4>32</vt:i4>
      </vt:variant>
      <vt:variant>
        <vt:i4>0</vt:i4>
      </vt:variant>
      <vt:variant>
        <vt:i4>5</vt:i4>
      </vt:variant>
      <vt:variant>
        <vt:lpwstr/>
      </vt:variant>
      <vt:variant>
        <vt:lpwstr>_Toc419117436</vt:lpwstr>
      </vt:variant>
      <vt:variant>
        <vt:i4>1245240</vt:i4>
      </vt:variant>
      <vt:variant>
        <vt:i4>26</vt:i4>
      </vt:variant>
      <vt:variant>
        <vt:i4>0</vt:i4>
      </vt:variant>
      <vt:variant>
        <vt:i4>5</vt:i4>
      </vt:variant>
      <vt:variant>
        <vt:lpwstr/>
      </vt:variant>
      <vt:variant>
        <vt:lpwstr>_Toc419117435</vt:lpwstr>
      </vt:variant>
      <vt:variant>
        <vt:i4>1245240</vt:i4>
      </vt:variant>
      <vt:variant>
        <vt:i4>20</vt:i4>
      </vt:variant>
      <vt:variant>
        <vt:i4>0</vt:i4>
      </vt:variant>
      <vt:variant>
        <vt:i4>5</vt:i4>
      </vt:variant>
      <vt:variant>
        <vt:lpwstr/>
      </vt:variant>
      <vt:variant>
        <vt:lpwstr>_Toc419117434</vt:lpwstr>
      </vt:variant>
      <vt:variant>
        <vt:i4>1245240</vt:i4>
      </vt:variant>
      <vt:variant>
        <vt:i4>14</vt:i4>
      </vt:variant>
      <vt:variant>
        <vt:i4>0</vt:i4>
      </vt:variant>
      <vt:variant>
        <vt:i4>5</vt:i4>
      </vt:variant>
      <vt:variant>
        <vt:lpwstr/>
      </vt:variant>
      <vt:variant>
        <vt:lpwstr>_Toc419117433</vt:lpwstr>
      </vt:variant>
      <vt:variant>
        <vt:i4>1245240</vt:i4>
      </vt:variant>
      <vt:variant>
        <vt:i4>8</vt:i4>
      </vt:variant>
      <vt:variant>
        <vt:i4>0</vt:i4>
      </vt:variant>
      <vt:variant>
        <vt:i4>5</vt:i4>
      </vt:variant>
      <vt:variant>
        <vt:lpwstr/>
      </vt:variant>
      <vt:variant>
        <vt:lpwstr>_Toc419117432</vt:lpwstr>
      </vt:variant>
      <vt:variant>
        <vt:i4>1245240</vt:i4>
      </vt:variant>
      <vt:variant>
        <vt:i4>2</vt:i4>
      </vt:variant>
      <vt:variant>
        <vt:i4>0</vt:i4>
      </vt:variant>
      <vt:variant>
        <vt:i4>5</vt:i4>
      </vt:variant>
      <vt:variant>
        <vt:lpwstr/>
      </vt:variant>
      <vt:variant>
        <vt:lpwstr>_Toc419117431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Telstra Mobile - Corporate Mobile Plus Plans</dc:title>
  <dc:subject/>
  <dc:creator>Liz Stanaway</dc:creator>
  <cp:keywords>Telstra, our customer terms, OCT, telstra mobile, corporate mobile plus plans, data plans, service level, international allowance</cp:keywords>
  <dc:description/>
  <cp:lastModifiedBy>Fuller, Kat</cp:lastModifiedBy>
  <cp:revision>3</cp:revision>
  <cp:lastPrinted>2024-10-14T23:57:00Z</cp:lastPrinted>
  <dcterms:created xsi:type="dcterms:W3CDTF">2024-10-14T23:56:00Z</dcterms:created>
  <dcterms:modified xsi:type="dcterms:W3CDTF">2024-10-14T23:57:00Z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0x010100CE3B1D3E7822C549A581B067E19CC315</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http://objects.in.telstra.com.au/documents/BAU-7729</vt:lpwstr>
  </property>
  <property fmtid="{D5CDD505-2E9C-101B-9397-08002B2CF9AE}" pid="17" name="TelstraIDHidden">
    <vt:lpwstr>BAU-7729</vt:lpwstr>
  </property>
  <property fmtid="{D5CDD505-2E9C-101B-9397-08002B2CF9AE}" pid="18" name="DMSAuthorID">
    <vt:lpwstr>ELBU</vt:lpwstr>
  </property>
  <property fmtid="{D5CDD505-2E9C-101B-9397-08002B2CF9AE}" pid="19" name="DMSCountry">
    <vt:lpwstr>AUSTRALIA</vt:lpwstr>
  </property>
  <property fmtid="{D5CDD505-2E9C-101B-9397-08002B2CF9AE}" pid="20" name="_dlc_DocIdItemGuid">
    <vt:lpwstr>88cf410f-7dca-48c8-9c88-321d3492cacc</vt:lpwstr>
  </property>
  <property fmtid="{D5CDD505-2E9C-101B-9397-08002B2CF9AE}" pid="21" name="ClassificationContentMarkingFooterShapeIds">
    <vt:lpwstr>740f57db,579a6de5,2b830737,1aac146a,574f4f68,6e0e168d</vt:lpwstr>
  </property>
  <property fmtid="{D5CDD505-2E9C-101B-9397-08002B2CF9AE}" pid="22" name="ClassificationContentMarkingFooterFontProps">
    <vt:lpwstr>#000000,10,Calibri</vt:lpwstr>
  </property>
  <property fmtid="{D5CDD505-2E9C-101B-9397-08002B2CF9AE}" pid="23" name="ClassificationContentMarkingFooterText">
    <vt:lpwstr>General</vt:lpwstr>
  </property>
  <property fmtid="{D5CDD505-2E9C-101B-9397-08002B2CF9AE}" pid="24" name="MediaServiceImageTags">
    <vt:lpwstr/>
  </property>
</Properties>
</file>