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B7EB7B9" w14:textId="77777777" w:rsidR="004E4A77" w:rsidRPr="006F4B42" w:rsidRDefault="004E4A77" w:rsidP="004E4A77">
      <w:pPr>
        <w:pStyle w:val="Heading1"/>
      </w:pPr>
      <w:r>
        <w:rPr>
          <w:lang w:eastAsia="en-AU"/>
        </w:rPr>
        <w:t>Telstra Outside Antenna Professional Install - Terms and Conditions</w:t>
      </w:r>
    </w:p>
    <w:p w14:paraId="2A038270" w14:textId="69DB9693" w:rsidR="004E4A77" w:rsidRPr="00214C73" w:rsidRDefault="004E4A77" w:rsidP="004E4A77">
      <w:pPr>
        <w:numPr>
          <w:ilvl w:val="0"/>
          <w:numId w:val="1"/>
        </w:numPr>
        <w:tabs>
          <w:tab w:val="clear" w:pos="36pt"/>
          <w:tab w:val="num" w:pos="18pt"/>
        </w:tabs>
        <w:spacing w:after="0pt" w:line="12pt" w:lineRule="auto"/>
        <w:ind w:start="18pt" w:hanging="17.85pt"/>
        <w:rPr>
          <w:rFonts w:eastAsia="Times New Roman" w:cstheme="minorHAnsi"/>
          <w:sz w:val="24"/>
          <w:lang w:eastAsia="en-AU"/>
        </w:rPr>
      </w:pPr>
      <w:r w:rsidRPr="00214C73">
        <w:rPr>
          <w:rFonts w:eastAsia="Times New Roman" w:cstheme="minorHAnsi"/>
          <w:sz w:val="24"/>
          <w:lang w:eastAsia="en-AU"/>
        </w:rPr>
        <w:t xml:space="preserve">We will </w:t>
      </w:r>
      <w:r w:rsidR="007B0368" w:rsidRPr="00214C73">
        <w:rPr>
          <w:rFonts w:eastAsia="Times New Roman" w:cstheme="minorHAnsi"/>
          <w:sz w:val="24"/>
          <w:lang w:eastAsia="en-AU"/>
        </w:rPr>
        <w:t>endeavor</w:t>
      </w:r>
      <w:r w:rsidRPr="00214C73">
        <w:rPr>
          <w:rFonts w:eastAsia="Times New Roman" w:cstheme="minorHAnsi"/>
          <w:sz w:val="24"/>
          <w:lang w:eastAsia="en-AU"/>
        </w:rPr>
        <w:t xml:space="preserve"> to provide you with a satisfactory signal for your NextG service; however: </w:t>
      </w:r>
    </w:p>
    <w:p w14:paraId="63AFBA48" w14:textId="77777777" w:rsidR="004E4A77" w:rsidRPr="00214C73" w:rsidRDefault="004E4A77" w:rsidP="004E4A77">
      <w:pPr>
        <w:numPr>
          <w:ilvl w:val="1"/>
          <w:numId w:val="1"/>
        </w:numPr>
        <w:tabs>
          <w:tab w:val="clear" w:pos="72pt"/>
          <w:tab w:val="num" w:pos="54pt"/>
        </w:tabs>
        <w:spacing w:after="0pt" w:line="12pt" w:lineRule="auto"/>
        <w:ind w:start="54pt" w:hanging="17.85pt"/>
        <w:rPr>
          <w:rFonts w:eastAsia="Times New Roman" w:cstheme="minorHAnsi"/>
          <w:sz w:val="24"/>
          <w:lang w:eastAsia="en-AU"/>
        </w:rPr>
      </w:pPr>
      <w:r w:rsidRPr="00214C73">
        <w:rPr>
          <w:rFonts w:eastAsia="Times New Roman" w:cstheme="minorHAnsi"/>
          <w:sz w:val="24"/>
          <w:lang w:eastAsia="en-AU"/>
        </w:rPr>
        <w:t xml:space="preserve">A successful outcome cannot be guaranteed and, </w:t>
      </w:r>
    </w:p>
    <w:p w14:paraId="678A53D1" w14:textId="3DF1213A" w:rsidR="004E4A77" w:rsidRPr="00214C73" w:rsidRDefault="004E4A77" w:rsidP="004E4A77">
      <w:pPr>
        <w:numPr>
          <w:ilvl w:val="1"/>
          <w:numId w:val="1"/>
        </w:numPr>
        <w:tabs>
          <w:tab w:val="clear" w:pos="72pt"/>
          <w:tab w:val="num" w:pos="54pt"/>
        </w:tabs>
        <w:spacing w:after="0pt" w:line="12pt" w:lineRule="auto"/>
        <w:ind w:start="54pt" w:hanging="17.85pt"/>
        <w:rPr>
          <w:rFonts w:eastAsia="Times New Roman" w:cstheme="minorHAnsi"/>
          <w:sz w:val="24"/>
          <w:lang w:eastAsia="en-AU"/>
        </w:rPr>
      </w:pPr>
      <w:r w:rsidRPr="00214C73">
        <w:rPr>
          <w:rFonts w:eastAsia="Times New Roman" w:cstheme="minorHAnsi"/>
          <w:sz w:val="24"/>
          <w:lang w:eastAsia="en-AU"/>
        </w:rPr>
        <w:t xml:space="preserve">In the case of Internet Devices, our </w:t>
      </w:r>
      <w:r w:rsidR="007B0368" w:rsidRPr="00214C73">
        <w:rPr>
          <w:rFonts w:eastAsia="Times New Roman" w:cstheme="minorHAnsi"/>
          <w:sz w:val="24"/>
          <w:lang w:eastAsia="en-AU"/>
        </w:rPr>
        <w:t>endeavors</w:t>
      </w:r>
      <w:r w:rsidRPr="00214C73">
        <w:rPr>
          <w:rFonts w:eastAsia="Times New Roman" w:cstheme="minorHAnsi"/>
          <w:sz w:val="24"/>
          <w:lang w:eastAsia="en-AU"/>
        </w:rPr>
        <w:t xml:space="preserve"> shall not apply to the broadband speeds that are obtained. </w:t>
      </w:r>
    </w:p>
    <w:p w14:paraId="40BE55D6" w14:textId="77777777" w:rsidR="004E4A77" w:rsidRPr="00214C73" w:rsidRDefault="004E4A77" w:rsidP="004E4A77">
      <w:pPr>
        <w:numPr>
          <w:ilvl w:val="1"/>
          <w:numId w:val="1"/>
        </w:numPr>
        <w:tabs>
          <w:tab w:val="clear" w:pos="72pt"/>
          <w:tab w:val="num" w:pos="54pt"/>
        </w:tabs>
        <w:spacing w:after="0pt" w:line="12pt" w:lineRule="auto"/>
        <w:ind w:start="54pt" w:hanging="17.85pt"/>
        <w:rPr>
          <w:rFonts w:eastAsia="Times New Roman" w:cstheme="minorHAnsi"/>
          <w:sz w:val="24"/>
          <w:lang w:eastAsia="en-AU"/>
        </w:rPr>
      </w:pPr>
      <w:r w:rsidRPr="00214C73">
        <w:rPr>
          <w:rFonts w:eastAsia="Times New Roman" w:cstheme="minorHAnsi"/>
          <w:sz w:val="24"/>
          <w:lang w:eastAsia="en-AU"/>
        </w:rPr>
        <w:t xml:space="preserve">This offer is not available if you do not have a NextG or other suitable Telstra account. </w:t>
      </w:r>
    </w:p>
    <w:p w14:paraId="60EFD592" w14:textId="77777777" w:rsidR="004E4A77" w:rsidRPr="00214C73" w:rsidRDefault="004E4A77" w:rsidP="004E4A77">
      <w:pPr>
        <w:numPr>
          <w:ilvl w:val="0"/>
          <w:numId w:val="1"/>
        </w:numPr>
        <w:tabs>
          <w:tab w:val="clear" w:pos="36pt"/>
          <w:tab w:val="num" w:pos="18pt"/>
        </w:tabs>
        <w:spacing w:after="0pt" w:line="12pt" w:lineRule="auto"/>
        <w:ind w:start="18pt" w:hanging="17.85pt"/>
        <w:rPr>
          <w:rFonts w:eastAsia="Times New Roman" w:cstheme="minorHAnsi"/>
          <w:sz w:val="24"/>
          <w:lang w:eastAsia="en-AU"/>
        </w:rPr>
      </w:pPr>
      <w:r w:rsidRPr="00214C73">
        <w:rPr>
          <w:rFonts w:eastAsia="Times New Roman" w:cstheme="minorHAnsi"/>
          <w:sz w:val="24"/>
          <w:lang w:eastAsia="en-AU"/>
        </w:rPr>
        <w:t xml:space="preserve">Practices for the installation of the outside antenna and associated equipment, shall comply with the rules set by the Australian Standards Association (ASA) for free to air (FTA) antenna connections. </w:t>
      </w:r>
    </w:p>
    <w:p w14:paraId="6BE13247" w14:textId="77777777" w:rsidR="004E4A77" w:rsidRPr="00214C73" w:rsidRDefault="004E4A77" w:rsidP="004E4A77">
      <w:pPr>
        <w:numPr>
          <w:ilvl w:val="0"/>
          <w:numId w:val="1"/>
        </w:numPr>
        <w:tabs>
          <w:tab w:val="clear" w:pos="36pt"/>
          <w:tab w:val="num" w:pos="18pt"/>
        </w:tabs>
        <w:spacing w:after="0pt" w:line="12pt" w:lineRule="auto"/>
        <w:ind w:start="18pt" w:hanging="17.85pt"/>
        <w:rPr>
          <w:rFonts w:eastAsia="Times New Roman" w:cstheme="minorHAnsi"/>
          <w:sz w:val="24"/>
          <w:lang w:eastAsia="en-AU"/>
        </w:rPr>
      </w:pPr>
      <w:r w:rsidRPr="00214C73">
        <w:rPr>
          <w:rFonts w:eastAsia="Times New Roman" w:cstheme="minorHAnsi"/>
          <w:sz w:val="24"/>
          <w:lang w:eastAsia="en-AU"/>
        </w:rPr>
        <w:t xml:space="preserve">Ownership of the antenna and associated equipment shall pass to you upon receiving a satisfactory signal and payment of the quoted charges. </w:t>
      </w:r>
    </w:p>
    <w:p w14:paraId="3952D1BE" w14:textId="77777777" w:rsidR="004E4A77" w:rsidRPr="00214C73" w:rsidRDefault="004E4A77" w:rsidP="004E4A77">
      <w:pPr>
        <w:numPr>
          <w:ilvl w:val="0"/>
          <w:numId w:val="1"/>
        </w:numPr>
        <w:tabs>
          <w:tab w:val="clear" w:pos="36pt"/>
          <w:tab w:val="num" w:pos="18pt"/>
        </w:tabs>
        <w:spacing w:after="0pt" w:line="12pt" w:lineRule="auto"/>
        <w:ind w:start="18pt" w:hanging="17.85pt"/>
        <w:rPr>
          <w:rFonts w:eastAsia="Times New Roman" w:cstheme="minorHAnsi"/>
          <w:sz w:val="24"/>
          <w:lang w:eastAsia="en-AU"/>
        </w:rPr>
      </w:pPr>
      <w:r w:rsidRPr="00214C73">
        <w:rPr>
          <w:rFonts w:eastAsia="Times New Roman" w:cstheme="minorHAnsi"/>
          <w:sz w:val="24"/>
          <w:lang w:eastAsia="en-AU"/>
        </w:rPr>
        <w:t>The Warranty period of 24 months, from the date of installation, shall apply to hardware failure including fair wear and tear. There is also a warranty period of thirty (30) days from the date of installation, which applies to installation workmanship &amp; Fly leads/Patch leads.</w:t>
      </w:r>
      <w:r w:rsidRPr="00214C73">
        <w:rPr>
          <w:rFonts w:eastAsia="Times New Roman" w:cstheme="minorHAnsi"/>
          <w:sz w:val="24"/>
          <w:lang w:eastAsia="en-AU"/>
        </w:rPr>
        <w:br/>
        <w:t>The warranties shall apply to site facilities only and do not extend to variations in the Next G network coverage.</w:t>
      </w:r>
      <w:r w:rsidRPr="00214C73">
        <w:rPr>
          <w:rFonts w:eastAsia="Times New Roman" w:cstheme="minorHAnsi"/>
          <w:sz w:val="24"/>
          <w:lang w:eastAsia="en-AU"/>
        </w:rPr>
        <w:br/>
        <w:t>The warranties shall not cover damage caused by abuse or climatic conditions.</w:t>
      </w:r>
      <w:r w:rsidRPr="00214C73">
        <w:rPr>
          <w:rFonts w:eastAsia="Times New Roman" w:cstheme="minorHAnsi"/>
          <w:sz w:val="24"/>
          <w:lang w:eastAsia="en-AU"/>
        </w:rPr>
        <w:br/>
        <w:t xml:space="preserve">In the case of Internet Devices, should the service be networked, the warranty shall apply to the first split point only. </w:t>
      </w:r>
    </w:p>
    <w:p w14:paraId="39453AEB" w14:textId="77777777" w:rsidR="004E4A77" w:rsidRPr="00214C73" w:rsidRDefault="004E4A77" w:rsidP="004E4A77">
      <w:pPr>
        <w:numPr>
          <w:ilvl w:val="0"/>
          <w:numId w:val="1"/>
        </w:numPr>
        <w:tabs>
          <w:tab w:val="clear" w:pos="36pt"/>
          <w:tab w:val="num" w:pos="18pt"/>
        </w:tabs>
        <w:spacing w:after="0pt" w:line="12pt" w:lineRule="auto"/>
        <w:ind w:start="18pt" w:hanging="17.85pt"/>
        <w:rPr>
          <w:rFonts w:eastAsia="Times New Roman" w:cstheme="minorHAnsi"/>
          <w:sz w:val="24"/>
          <w:lang w:eastAsia="en-AU"/>
        </w:rPr>
      </w:pPr>
      <w:r w:rsidRPr="00214C73">
        <w:rPr>
          <w:rFonts w:eastAsia="Times New Roman" w:cstheme="minorHAnsi"/>
          <w:sz w:val="24"/>
          <w:lang w:eastAsia="en-AU"/>
        </w:rPr>
        <w:t xml:space="preserve">Beyond the warranty periods Telstra shall not be responsible for maintenance of the antenna and associated equipment. </w:t>
      </w:r>
    </w:p>
    <w:p w14:paraId="2FF21B7E" w14:textId="77777777" w:rsidR="004E4A77" w:rsidRPr="00214C73" w:rsidRDefault="004E4A77" w:rsidP="004E4A77">
      <w:pPr>
        <w:numPr>
          <w:ilvl w:val="0"/>
          <w:numId w:val="1"/>
        </w:numPr>
        <w:tabs>
          <w:tab w:val="clear" w:pos="36pt"/>
          <w:tab w:val="num" w:pos="18pt"/>
        </w:tabs>
        <w:spacing w:after="0pt" w:line="12pt" w:lineRule="auto"/>
        <w:ind w:start="18pt" w:hanging="17.85pt"/>
        <w:rPr>
          <w:rFonts w:eastAsia="Times New Roman" w:cstheme="minorHAnsi"/>
          <w:sz w:val="24"/>
          <w:lang w:eastAsia="en-AU"/>
        </w:rPr>
      </w:pPr>
      <w:r w:rsidRPr="00214C73">
        <w:rPr>
          <w:rFonts w:eastAsia="Times New Roman" w:cstheme="minorHAnsi"/>
          <w:sz w:val="24"/>
          <w:lang w:eastAsia="en-AU"/>
        </w:rPr>
        <w:t xml:space="preserve">Where you accept a premises visit but a satisfactory signal cannot be obtained: </w:t>
      </w:r>
    </w:p>
    <w:p w14:paraId="76158D9B" w14:textId="77777777" w:rsidR="004E4A77" w:rsidRPr="00214C73" w:rsidRDefault="004E4A77" w:rsidP="004E4A77">
      <w:pPr>
        <w:numPr>
          <w:ilvl w:val="1"/>
          <w:numId w:val="2"/>
        </w:numPr>
        <w:spacing w:after="0pt" w:line="12pt" w:lineRule="auto"/>
        <w:ind w:hanging="17.85pt"/>
        <w:rPr>
          <w:rFonts w:eastAsia="Times New Roman" w:cstheme="minorHAnsi"/>
          <w:sz w:val="24"/>
          <w:lang w:eastAsia="en-AU"/>
        </w:rPr>
      </w:pPr>
      <w:r w:rsidRPr="00214C73">
        <w:rPr>
          <w:rFonts w:eastAsia="Times New Roman" w:cstheme="minorHAnsi"/>
          <w:sz w:val="24"/>
          <w:lang w:eastAsia="en-AU"/>
        </w:rPr>
        <w:t>It will be your choice and responsibility to return the NextG equipment to the original place of purchase</w:t>
      </w:r>
      <w:r>
        <w:rPr>
          <w:rFonts w:eastAsia="Times New Roman" w:cstheme="minorHAnsi"/>
          <w:sz w:val="24"/>
          <w:lang w:eastAsia="en-AU"/>
        </w:rPr>
        <w:t>.</w:t>
      </w:r>
      <w:r w:rsidRPr="00214C73">
        <w:rPr>
          <w:rFonts w:eastAsia="Times New Roman" w:cstheme="minorHAnsi"/>
          <w:sz w:val="24"/>
          <w:lang w:eastAsia="en-AU"/>
        </w:rPr>
        <w:t xml:space="preserve"> </w:t>
      </w:r>
    </w:p>
    <w:p w14:paraId="33E67589" w14:textId="77777777" w:rsidR="004E4A77" w:rsidRDefault="004E4A77" w:rsidP="004E4A77">
      <w:pPr>
        <w:numPr>
          <w:ilvl w:val="0"/>
          <w:numId w:val="1"/>
        </w:numPr>
        <w:tabs>
          <w:tab w:val="clear" w:pos="36pt"/>
          <w:tab w:val="num" w:pos="18pt"/>
        </w:tabs>
        <w:spacing w:after="0pt" w:line="12pt" w:lineRule="auto"/>
        <w:ind w:start="18pt" w:hanging="17.85pt"/>
        <w:rPr>
          <w:rFonts w:eastAsia="Times New Roman" w:cstheme="minorHAnsi"/>
          <w:sz w:val="24"/>
          <w:lang w:eastAsia="en-AU"/>
        </w:rPr>
      </w:pPr>
      <w:r w:rsidRPr="00214C73">
        <w:rPr>
          <w:rFonts w:eastAsia="Times New Roman" w:cstheme="minorHAnsi"/>
          <w:sz w:val="24"/>
          <w:lang w:eastAsia="en-AU"/>
        </w:rPr>
        <w:t>Field Representatives attending shall not perform any configuration of your Personal device nor undertake activation or installation/commissioning of the NextG equipment. They shall only be responsible for installing the outside antenna and associated equipment to provide signal, which will be tested using the approved LG TU500/550 mobile phone.</w:t>
      </w:r>
    </w:p>
    <w:p w14:paraId="183CE085" w14:textId="282C78B8" w:rsidR="004E4A77" w:rsidRPr="007B0368" w:rsidRDefault="004E4A77" w:rsidP="007B0368">
      <w:pPr>
        <w:pStyle w:val="Heading2"/>
        <w:rPr>
          <w:rFonts w:eastAsia="Times New Roman"/>
          <w:lang w:eastAsia="en-AU"/>
        </w:rPr>
      </w:pPr>
      <w:r>
        <w:rPr>
          <w:rFonts w:eastAsia="Times New Roman"/>
          <w:lang w:eastAsia="en-AU"/>
        </w:rPr>
        <w:t>Other Information</w:t>
      </w:r>
    </w:p>
    <w:p w14:paraId="2BE9AF89" w14:textId="77777777" w:rsidR="007B0368" w:rsidRDefault="004E4A77" w:rsidP="007B0368">
      <w:pPr>
        <w:spacing w:after="12pt" w:line="12pt" w:lineRule="auto"/>
        <w:rPr>
          <w:rFonts w:eastAsia="Times New Roman" w:cstheme="minorHAnsi"/>
          <w:sz w:val="24"/>
          <w:lang w:eastAsia="en-AU"/>
        </w:rPr>
      </w:pPr>
      <w:r w:rsidRPr="0007487B">
        <w:rPr>
          <w:rFonts w:eastAsia="Times New Roman" w:cstheme="minorHAnsi"/>
          <w:sz w:val="24"/>
          <w:lang w:eastAsia="en-AU"/>
        </w:rPr>
        <w:t>The outside antenna is a possible alternative in cases where a NextG product is not provided with enough signal strength to register for adequate performance levels.</w:t>
      </w:r>
    </w:p>
    <w:p w14:paraId="6E3A8A18" w14:textId="27512637" w:rsidR="004E4A77" w:rsidRPr="0007487B" w:rsidRDefault="004E4A77" w:rsidP="007B0368">
      <w:pPr>
        <w:spacing w:after="12pt" w:line="12pt" w:lineRule="auto"/>
        <w:rPr>
          <w:rFonts w:eastAsia="Times New Roman" w:cstheme="minorHAnsi"/>
          <w:sz w:val="24"/>
          <w:lang w:eastAsia="en-AU"/>
        </w:rPr>
      </w:pPr>
      <w:r w:rsidRPr="0007487B">
        <w:rPr>
          <w:rFonts w:eastAsia="Times New Roman" w:cstheme="minorHAnsi"/>
          <w:sz w:val="24"/>
          <w:lang w:eastAsia="en-AU"/>
        </w:rPr>
        <w:t>The Outside Antenna is a 12db gain Yagi style antenna that is installed on the roof of the premises, on an approved mount or mast with RG58 coax cabling run and terminated into the premises via a wall plate.</w:t>
      </w:r>
    </w:p>
    <w:p w14:paraId="7AF0E1A8" w14:textId="77777777" w:rsidR="007B0368" w:rsidRDefault="004E4A77" w:rsidP="007B0368">
      <w:pPr>
        <w:spacing w:after="12pt" w:line="12pt" w:lineRule="auto"/>
        <w:rPr>
          <w:rFonts w:eastAsia="Times New Roman" w:cstheme="minorHAnsi"/>
          <w:sz w:val="24"/>
          <w:lang w:eastAsia="en-AU"/>
        </w:rPr>
      </w:pPr>
      <w:r w:rsidRPr="0007487B">
        <w:rPr>
          <w:rFonts w:eastAsia="Times New Roman" w:cstheme="minorHAnsi"/>
          <w:sz w:val="24"/>
          <w:lang w:eastAsia="en-AU"/>
        </w:rPr>
        <w:t xml:space="preserve">Within the premises from the wall plate a 2m patch lead will be supplied, which will need to be </w:t>
      </w:r>
      <w:proofErr w:type="gramStart"/>
      <w:r w:rsidRPr="0007487B">
        <w:rPr>
          <w:rFonts w:eastAsia="Times New Roman" w:cstheme="minorHAnsi"/>
          <w:sz w:val="24"/>
          <w:lang w:eastAsia="en-AU"/>
        </w:rPr>
        <w:t>connected to the NextG device at all times</w:t>
      </w:r>
      <w:proofErr w:type="gramEnd"/>
      <w:r w:rsidRPr="0007487B">
        <w:rPr>
          <w:rFonts w:eastAsia="Times New Roman" w:cstheme="minorHAnsi"/>
          <w:sz w:val="24"/>
          <w:lang w:eastAsia="en-AU"/>
        </w:rPr>
        <w:t xml:space="preserve"> at the premises to obtain signal.</w:t>
      </w:r>
    </w:p>
    <w:p w14:paraId="1A55F005" w14:textId="507D88AB" w:rsidR="004E4A77" w:rsidRPr="007B0368" w:rsidRDefault="004E4A77" w:rsidP="004E4A77">
      <w:pPr>
        <w:spacing w:after="0pt" w:line="12pt" w:lineRule="auto"/>
        <w:rPr>
          <w:rFonts w:eastAsia="Times New Roman" w:cstheme="minorHAnsi"/>
          <w:sz w:val="24"/>
          <w:lang w:eastAsia="en-AU"/>
        </w:rPr>
      </w:pPr>
      <w:r w:rsidRPr="00767312">
        <w:rPr>
          <w:rFonts w:eastAsia="Times New Roman" w:cstheme="minorHAnsi"/>
          <w:sz w:val="24"/>
          <w:lang w:eastAsia="en-AU"/>
        </w:rPr>
        <w:lastRenderedPageBreak/>
        <w:t>This is a summary only. Further information about the terms and conditions on which we provide products and services is available at</w:t>
      </w:r>
      <w:r w:rsidRPr="00767312">
        <w:rPr>
          <w:rFonts w:ascii="Helvetica" w:hAnsi="Helvetica"/>
          <w:color w:val="333333"/>
          <w:sz w:val="24"/>
          <w:shd w:val="clear" w:color="auto" w:fill="FFFFFF"/>
        </w:rPr>
        <w:t xml:space="preserve"> </w:t>
      </w:r>
      <w:hyperlink r:id="rId11" w:history="1">
        <w:r w:rsidRPr="00767312">
          <w:rPr>
            <w:rStyle w:val="Hyperlink"/>
            <w:rFonts w:ascii="Helvetica" w:hAnsi="Helvetica"/>
            <w:sz w:val="24"/>
            <w:shd w:val="clear" w:color="auto" w:fill="FFFFFF"/>
          </w:rPr>
          <w:t>https://www.telstra.com.au/customer-terms</w:t>
        </w:r>
      </w:hyperlink>
      <w:r w:rsidRPr="00767312">
        <w:rPr>
          <w:rFonts w:ascii="Helvetica" w:hAnsi="Helvetica"/>
          <w:color w:val="333333"/>
          <w:sz w:val="24"/>
          <w:shd w:val="clear" w:color="auto" w:fill="FFFFFF"/>
        </w:rPr>
        <w:t>.</w:t>
      </w:r>
    </w:p>
    <w:sectPr w:rsidR="004E4A77" w:rsidRPr="007B0368">
      <w:headerReference w:type="default" r:id="rId12"/>
      <w:footerReference w:type="default" r:id="rId13"/>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C651F20" w14:textId="77777777" w:rsidR="00F90F00" w:rsidRDefault="00F90F00" w:rsidP="004E4A77">
      <w:pPr>
        <w:spacing w:after="0pt" w:line="12pt" w:lineRule="auto"/>
      </w:pPr>
      <w:r>
        <w:separator/>
      </w:r>
    </w:p>
  </w:endnote>
  <w:endnote w:type="continuationSeparator" w:id="0">
    <w:p w14:paraId="0F45FD55" w14:textId="77777777" w:rsidR="00F90F00" w:rsidRDefault="00F90F00" w:rsidP="004E4A7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DengXian Light">
    <w:altName w:val="等线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Helvetica">
    <w:panose1 w:val="020B0604020202020204"/>
    <w:charset w:characterSet="iso-8859-1"/>
    <w:family w:val="swiss"/>
    <w:pitch w:val="variable"/>
    <w:sig w:usb0="E0002EFF" w:usb1="C000785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8AF3597" w14:textId="1FCC58A1" w:rsidR="00642AB0" w:rsidRPr="00A00501" w:rsidRDefault="00642AB0" w:rsidP="00A00501">
    <w:pPr>
      <w:pStyle w:val="Footer"/>
      <w:tabs>
        <w:tab w:val="clear" w:pos="468pt"/>
        <w:tab w:val="center" w:pos="72pt"/>
      </w:tabs>
      <w:rPr>
        <w:rFonts w:ascii="Arial" w:hAnsi="Arial" w:cs="Arial"/>
        <w:sz w:val="12"/>
        <w:szCs w:val="12"/>
      </w:rPr>
    </w:pPr>
    <w:r w:rsidRPr="00A00501">
      <w:rPr>
        <w:rFonts w:ascii="Arial" w:hAnsi="Arial" w:cs="Arial"/>
        <w:sz w:val="12"/>
        <w:szCs w:val="12"/>
      </w:rPr>
      <w:t>TELSTRA OUTSIDE ANTENNA PROFESSIONAL INSTALL – TERMS AND CONDITIONS LAST CHANGED ON 26 NOVEMBER 2021</w:t>
    </w:r>
    <w:r w:rsidR="00A00501">
      <w:rPr>
        <w:rFonts w:ascii="Arial" w:hAnsi="Arial" w:cs="Arial"/>
        <w:sz w:val="12"/>
        <w:szCs w:val="12"/>
      </w:rPr>
      <w:tab/>
    </w:r>
    <w:r w:rsidR="00A00501">
      <w:rPr>
        <w:rFonts w:ascii="Arial" w:hAnsi="Arial" w:cs="Arial"/>
        <w:sz w:val="12"/>
        <w:szCs w:val="12"/>
      </w:rPr>
      <w:tab/>
    </w:r>
    <w:r w:rsidR="00A00501">
      <w:rPr>
        <w:rFonts w:ascii="Arial" w:hAnsi="Arial" w:cs="Arial"/>
        <w:sz w:val="12"/>
        <w:szCs w:val="12"/>
      </w:rPr>
      <w:tab/>
    </w:r>
    <w:r w:rsidRPr="00A00501">
      <w:rPr>
        <w:rFonts w:ascii="Arial" w:hAnsi="Arial" w:cs="Arial"/>
        <w:sz w:val="12"/>
        <w:szCs w:val="12"/>
      </w:rPr>
      <w:t xml:space="preserve">PAGE </w:t>
    </w:r>
    <w:r w:rsidR="00A00501" w:rsidRPr="00A00501">
      <w:rPr>
        <w:rFonts w:ascii="Arial" w:hAnsi="Arial" w:cs="Arial"/>
        <w:sz w:val="12"/>
        <w:szCs w:val="12"/>
      </w:rPr>
      <w:fldChar w:fldCharType="begin"/>
    </w:r>
    <w:r w:rsidR="00A00501" w:rsidRPr="00A00501">
      <w:rPr>
        <w:rFonts w:ascii="Arial" w:hAnsi="Arial" w:cs="Arial"/>
        <w:sz w:val="12"/>
        <w:szCs w:val="12"/>
      </w:rPr>
      <w:instrText xml:space="preserve"> PAGE   \* MERGEFORMAT </w:instrText>
    </w:r>
    <w:r w:rsidR="00A00501" w:rsidRPr="00A00501">
      <w:rPr>
        <w:rFonts w:ascii="Arial" w:hAnsi="Arial" w:cs="Arial"/>
        <w:sz w:val="12"/>
        <w:szCs w:val="12"/>
      </w:rPr>
      <w:fldChar w:fldCharType="separate"/>
    </w:r>
    <w:r w:rsidR="00A00501" w:rsidRPr="00A00501">
      <w:rPr>
        <w:rFonts w:ascii="Arial" w:hAnsi="Arial" w:cs="Arial"/>
        <w:noProof/>
        <w:sz w:val="12"/>
        <w:szCs w:val="12"/>
      </w:rPr>
      <w:t>1</w:t>
    </w:r>
    <w:r w:rsidR="00A00501" w:rsidRPr="00A00501">
      <w:rPr>
        <w:rFonts w:ascii="Arial" w:hAnsi="Arial" w:cs="Arial"/>
        <w:noProof/>
        <w:sz w:val="12"/>
        <w:szCs w:val="12"/>
      </w:rPr>
      <w:fldChar w:fldCharType="end"/>
    </w:r>
    <w:r w:rsidRPr="00A00501">
      <w:rPr>
        <w:rFonts w:ascii="Arial" w:hAnsi="Arial" w:cs="Arial"/>
        <w:sz w:val="12"/>
        <w:szCs w:val="12"/>
      </w:rPr>
      <w:t>/</w:t>
    </w:r>
    <w:r w:rsidR="00A00501">
      <w:rPr>
        <w:rFonts w:ascii="Arial" w:hAnsi="Arial" w:cs="Arial"/>
        <w:sz w:val="12"/>
        <w:szCs w:val="12"/>
      </w:rPr>
      <w:t>2</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0194146" w14:textId="77777777" w:rsidR="00F90F00" w:rsidRDefault="00F90F00" w:rsidP="004E4A77">
      <w:pPr>
        <w:spacing w:after="0pt" w:line="12pt" w:lineRule="auto"/>
      </w:pPr>
      <w:r>
        <w:separator/>
      </w:r>
    </w:p>
  </w:footnote>
  <w:footnote w:type="continuationSeparator" w:id="0">
    <w:p w14:paraId="3C536608" w14:textId="77777777" w:rsidR="00F90F00" w:rsidRDefault="00F90F00" w:rsidP="004E4A7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8A2A77" w14:textId="7BACE72D" w:rsidR="004E4A77" w:rsidRDefault="004E4A77" w:rsidP="00CF12D5">
    <w:pPr>
      <w:pStyle w:val="Header"/>
      <w:tabs>
        <w:tab w:val="clear" w:pos="234pt"/>
        <w:tab w:val="center" w:pos="418.50pt"/>
      </w:tabs>
    </w:pPr>
    <w:r>
      <w:tab/>
    </w:r>
    <w:r w:rsidRPr="009043B0">
      <w:rPr>
        <w:noProof/>
        <w:color w:val="1C1C1C"/>
        <w:lang w:eastAsia="en-AU"/>
      </w:rPr>
      <w:drawing>
        <wp:inline distT="0" distB="0" distL="0" distR="0" wp14:anchorId="0D50E0D4" wp14:editId="72CDD14C">
          <wp:extent cx="1010920" cy="403811"/>
          <wp:effectExtent l="0" t="0" r="0" b="0"/>
          <wp:docPr id="3" name="Picture 3" descr="Telstra 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Picture 3"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7D0874C7"/>
    <w:multiLevelType w:val="multilevel"/>
    <w:tmpl w:val="ACBC353C"/>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decimal"/>
      <w:lvlText w:val="%3."/>
      <w:lvlJc w:val="start"/>
      <w:pPr>
        <w:tabs>
          <w:tab w:val="num" w:pos="108pt"/>
        </w:tabs>
        <w:ind w:start="108pt" w:hanging="18pt"/>
      </w:pPr>
    </w:lvl>
    <w:lvl w:ilvl="3">
      <w:start w:val="1"/>
      <w:numFmt w:val="decimal"/>
      <w:lvlText w:val="%4."/>
      <w:lvlJc w:val="start"/>
      <w:pPr>
        <w:tabs>
          <w:tab w:val="num" w:pos="144pt"/>
        </w:tabs>
        <w:ind w:start="144pt" w:hanging="18pt"/>
      </w:pPr>
    </w:lvl>
    <w:lvl w:ilvl="4">
      <w:start w:val="1"/>
      <w:numFmt w:val="decimal"/>
      <w:lvlText w:val="%5."/>
      <w:lvlJc w:val="start"/>
      <w:pPr>
        <w:tabs>
          <w:tab w:val="num" w:pos="180pt"/>
        </w:tabs>
        <w:ind w:start="180pt" w:hanging="18pt"/>
      </w:pPr>
    </w:lvl>
    <w:lvl w:ilvl="5">
      <w:start w:val="1"/>
      <w:numFmt w:val="decimal"/>
      <w:lvlText w:val="%6."/>
      <w:lvlJc w:val="start"/>
      <w:pPr>
        <w:tabs>
          <w:tab w:val="num" w:pos="216pt"/>
        </w:tabs>
        <w:ind w:start="216pt" w:hanging="18pt"/>
      </w:pPr>
    </w:lvl>
    <w:lvl w:ilvl="6">
      <w:start w:val="1"/>
      <w:numFmt w:val="decimal"/>
      <w:lvlText w:val="%7."/>
      <w:lvlJc w:val="start"/>
      <w:pPr>
        <w:tabs>
          <w:tab w:val="num" w:pos="252pt"/>
        </w:tabs>
        <w:ind w:start="252pt" w:hanging="18pt"/>
      </w:pPr>
    </w:lvl>
    <w:lvl w:ilvl="7">
      <w:start w:val="1"/>
      <w:numFmt w:val="decimal"/>
      <w:lvlText w:val="%8."/>
      <w:lvlJc w:val="start"/>
      <w:pPr>
        <w:tabs>
          <w:tab w:val="num" w:pos="288pt"/>
        </w:tabs>
        <w:ind w:start="288pt" w:hanging="18pt"/>
      </w:pPr>
    </w:lvl>
    <w:lvl w:ilvl="8">
      <w:start w:val="1"/>
      <w:numFmt w:val="decimal"/>
      <w:lvlText w:val="%9."/>
      <w:lvlJc w:val="start"/>
      <w:pPr>
        <w:tabs>
          <w:tab w:val="num" w:pos="324pt"/>
        </w:tabs>
        <w:ind w:start="324pt" w:hanging="18pt"/>
      </w:pPr>
    </w:lvl>
  </w:abstractNum>
  <w:num w:numId="1" w16cid:durableId="19284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015333">
    <w:abstractNumId w:val="0"/>
    <w:lvlOverride w:ilvl="0">
      <w:lvl w:ilvl="0">
        <w:start w:val="1"/>
        <w:numFmt w:val="lowerLetter"/>
        <w:lvlText w:val="%1."/>
        <w:lvlJc w:val="start"/>
        <w:pPr>
          <w:ind w:start="18pt" w:hanging="18pt"/>
        </w:pPr>
      </w:lvl>
    </w:lvlOverride>
    <w:lvlOverride w:ilvl="1">
      <w:lvl w:ilvl="1">
        <w:start w:val="1"/>
        <w:numFmt w:val="lowerLetter"/>
        <w:lvlText w:val="%2."/>
        <w:lvlJc w:val="start"/>
        <w:pPr>
          <w:ind w:start="54pt" w:hanging="18pt"/>
        </w:pPr>
      </w:lvl>
    </w:lvlOverride>
    <w:lvlOverride w:ilvl="2">
      <w:lvl w:ilvl="2" w:tentative="1">
        <w:start w:val="1"/>
        <w:numFmt w:val="lowerRoman"/>
        <w:lvlText w:val="%3."/>
        <w:lvlJc w:val="end"/>
        <w:pPr>
          <w:ind w:start="90pt" w:hanging="9pt"/>
        </w:pPr>
      </w:lvl>
    </w:lvlOverride>
    <w:lvlOverride w:ilvl="3">
      <w:lvl w:ilvl="3" w:tentative="1">
        <w:start w:val="1"/>
        <w:numFmt w:val="decimal"/>
        <w:lvlText w:val="%4."/>
        <w:lvlJc w:val="start"/>
        <w:pPr>
          <w:ind w:start="126pt" w:hanging="18pt"/>
        </w:pPr>
      </w:lvl>
    </w:lvlOverride>
    <w:lvlOverride w:ilvl="4">
      <w:lvl w:ilvl="4" w:tentative="1">
        <w:start w:val="1"/>
        <w:numFmt w:val="lowerLetter"/>
        <w:lvlText w:val="%5."/>
        <w:lvlJc w:val="start"/>
        <w:pPr>
          <w:ind w:start="162pt" w:hanging="18pt"/>
        </w:pPr>
      </w:lvl>
    </w:lvlOverride>
    <w:lvlOverride w:ilvl="5">
      <w:lvl w:ilvl="5" w:tentative="1">
        <w:start w:val="1"/>
        <w:numFmt w:val="lowerRoman"/>
        <w:lvlText w:val="%6."/>
        <w:lvlJc w:val="end"/>
        <w:pPr>
          <w:ind w:start="198pt" w:hanging="9pt"/>
        </w:pPr>
      </w:lvl>
    </w:lvlOverride>
    <w:lvlOverride w:ilvl="6">
      <w:lvl w:ilvl="6" w:tentative="1">
        <w:start w:val="1"/>
        <w:numFmt w:val="decimal"/>
        <w:lvlText w:val="%7."/>
        <w:lvlJc w:val="start"/>
        <w:pPr>
          <w:ind w:start="234pt" w:hanging="18pt"/>
        </w:pPr>
      </w:lvl>
    </w:lvlOverride>
    <w:lvlOverride w:ilvl="7">
      <w:lvl w:ilvl="7" w:tentative="1">
        <w:start w:val="1"/>
        <w:numFmt w:val="lowerLetter"/>
        <w:lvlText w:val="%8."/>
        <w:lvlJc w:val="start"/>
        <w:pPr>
          <w:ind w:start="270pt" w:hanging="18pt"/>
        </w:pPr>
      </w:lvl>
    </w:lvlOverride>
    <w:lvlOverride w:ilvl="8">
      <w:lvl w:ilvl="8" w:tentative="1">
        <w:start w:val="1"/>
        <w:numFmt w:val="lowerRoman"/>
        <w:lvlText w:val="%9."/>
        <w:lvlJc w:val="end"/>
        <w:pPr>
          <w:ind w:start="306pt" w:hanging="9pt"/>
        </w:pPr>
      </w:lvl>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E4"/>
    <w:rsid w:val="00011AE4"/>
    <w:rsid w:val="000904EF"/>
    <w:rsid w:val="003807F3"/>
    <w:rsid w:val="004E4A77"/>
    <w:rsid w:val="00642AB0"/>
    <w:rsid w:val="006A4FEC"/>
    <w:rsid w:val="006B386E"/>
    <w:rsid w:val="007B0368"/>
    <w:rsid w:val="008A3CD0"/>
    <w:rsid w:val="00A00501"/>
    <w:rsid w:val="00A03E13"/>
    <w:rsid w:val="00AD2029"/>
    <w:rsid w:val="00CF12D5"/>
    <w:rsid w:val="00DC493D"/>
    <w:rsid w:val="00EA5BE4"/>
    <w:rsid w:val="00F020B5"/>
    <w:rsid w:val="00F14B41"/>
    <w:rsid w:val="00F9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969257"/>
  <w15:chartTrackingRefBased/>
  <w15:docId w15:val="{25BC7EA3-8C63-432C-B9AB-A8CDDBBC7F1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368"/>
    <w:pPr>
      <w:widowControl w:val="0"/>
      <w:suppressAutoHyphens/>
      <w:autoSpaceDE w:val="0"/>
      <w:autoSpaceDN w:val="0"/>
      <w:adjustRightInd w:val="0"/>
      <w:spacing w:after="12pt" w:line="17pt" w:lineRule="atLeast"/>
      <w:textAlignment w:val="center"/>
      <w:outlineLvl w:val="0"/>
    </w:pPr>
    <w:rPr>
      <w:rFonts w:ascii="Arial" w:eastAsia="Cambria" w:hAnsi="Arial" w:cs="Calibri"/>
      <w:b/>
      <w:color w:val="001E82"/>
      <w:spacing w:val="-2"/>
      <w:sz w:val="30"/>
      <w:szCs w:val="30"/>
      <w:lang w:val="en-AU"/>
    </w:rPr>
  </w:style>
  <w:style w:type="paragraph" w:styleId="Heading2">
    <w:name w:val="heading 2"/>
    <w:basedOn w:val="Normal"/>
    <w:next w:val="Normal"/>
    <w:link w:val="Heading2Char"/>
    <w:uiPriority w:val="9"/>
    <w:unhideWhenUsed/>
    <w:qFormat/>
    <w:rsid w:val="007B0368"/>
    <w:pPr>
      <w:keepNext/>
      <w:keepLines/>
      <w:spacing w:before="12pt" w:after="12pt"/>
      <w:outlineLvl w:val="1"/>
    </w:pPr>
    <w:rPr>
      <w:rFonts w:ascii="Arial" w:eastAsiaTheme="majorEastAsia" w:hAnsi="Arial" w:cstheme="majorBidi"/>
      <w:b/>
      <w:color w:val="001E82"/>
      <w:sz w:val="24"/>
      <w:szCs w:val="26"/>
    </w:rPr>
  </w:style>
  <w:style w:type="paragraph" w:styleId="Heading3">
    <w:name w:val="heading 3"/>
    <w:basedOn w:val="Normal"/>
    <w:next w:val="Normal"/>
    <w:link w:val="Heading3Char"/>
    <w:uiPriority w:val="9"/>
    <w:unhideWhenUsed/>
    <w:qFormat/>
    <w:rsid w:val="004E4A77"/>
    <w:pPr>
      <w:keepNext/>
      <w:keepLines/>
      <w:spacing w:before="2pt" w:after="0p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A77"/>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4E4A77"/>
  </w:style>
  <w:style w:type="paragraph" w:styleId="Footer">
    <w:name w:val="footer"/>
    <w:basedOn w:val="Normal"/>
    <w:link w:val="FooterChar"/>
    <w:uiPriority w:val="99"/>
    <w:unhideWhenUsed/>
    <w:rsid w:val="004E4A77"/>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4E4A77"/>
  </w:style>
  <w:style w:type="character" w:customStyle="1" w:styleId="Heading1Char">
    <w:name w:val="Heading 1 Char"/>
    <w:basedOn w:val="DefaultParagraphFont"/>
    <w:link w:val="Heading1"/>
    <w:uiPriority w:val="9"/>
    <w:rsid w:val="007B0368"/>
    <w:rPr>
      <w:rFonts w:ascii="Arial" w:eastAsia="Cambria" w:hAnsi="Arial" w:cs="Calibri"/>
      <w:b/>
      <w:color w:val="001E82"/>
      <w:spacing w:val="-2"/>
      <w:sz w:val="30"/>
      <w:szCs w:val="30"/>
      <w:lang w:val="en-AU"/>
    </w:rPr>
  </w:style>
  <w:style w:type="character" w:customStyle="1" w:styleId="Heading3Char">
    <w:name w:val="Heading 3 Char"/>
    <w:basedOn w:val="DefaultParagraphFont"/>
    <w:link w:val="Heading3"/>
    <w:uiPriority w:val="9"/>
    <w:rsid w:val="004E4A7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nhideWhenUsed/>
    <w:rsid w:val="004E4A77"/>
    <w:rPr>
      <w:color w:val="0563C1" w:themeColor="hyperlink"/>
      <w:u w:val="single"/>
    </w:rPr>
  </w:style>
  <w:style w:type="character" w:customStyle="1" w:styleId="Heading2Char">
    <w:name w:val="Heading 2 Char"/>
    <w:basedOn w:val="DefaultParagraphFont"/>
    <w:link w:val="Heading2"/>
    <w:uiPriority w:val="9"/>
    <w:rsid w:val="007B0368"/>
    <w:rPr>
      <w:rFonts w:ascii="Arial" w:eastAsiaTheme="majorEastAsia" w:hAnsi="Arial" w:cstheme="majorBidi"/>
      <w:b/>
      <w:color w:val="001E82"/>
      <w:sz w:val="24"/>
      <w:szCs w:val="2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2" Type="http://purl.oclc.org/ooxml/officeDocument/relationships/customXml" Target="../customXml/item2.xml"/><Relationship Id="rId11" Type="http://purl.oclc.org/ooxml/officeDocument/relationships/hyperlink" Target="https://www.telstra.com.au/customer-terms" TargetMode="External"/><Relationship Id="rId6" Type="http://purl.oclc.org/ooxml/officeDocument/relationships/styles" Target="styles.xm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186D3674-7E95-41B1-8AA8-713062D51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5418D-0193-4D48-B631-4FC4BEE4146D}"/>
</file>

<file path=customXml/itemProps3.xml><?xml version="1.0" encoding="utf-8"?>
<ds:datastoreItem xmlns:ds="http://purl.oclc.org/ooxml/officeDocument/customXml" ds:itemID="{A178BAAC-5D73-4015-88F0-0E60304F5B9C}">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purl.oclc.org/ooxml/officeDocument/customXml" ds:itemID="{CD327475-0B40-4E64-A18E-6AC98E2FE9F0}">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Telstra Outside Antenna Professional Install - Terms and Conditions</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Outside Antenna Professional Install - Terms and Conditions</dc:title>
  <dc:subject>Telstra Outside Antenna Professional Install - Terms and Conditions</dc:subject>
  <cp:keywords>Telstra Outside Antenna Professional Install - Terms and Conditions; Outside Antenna; Professional Install; Terms and Conditions; Other Information</cp:keywords>
  <dc:description/>
  <cp:lastModifiedBy>Nadine Mendoza</cp:lastModifiedBy>
  <cp:revision>2</cp:revision>
  <dcterms:created xsi:type="dcterms:W3CDTF">2022-11-22T09:32:00Z</dcterms:created>
  <dcterms:modified xsi:type="dcterms:W3CDTF">2022-11-22T09:32:00Z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0x0101000EB6EF9F3B0C00418583F3032526BE14</vt:lpwstr>
  </property>
  <property fmtid="{D5CDD505-2E9C-101B-9397-08002B2CF9AE}" pid="3" name="_dlc_DocIdItemGuid">
    <vt:lpwstr>91a0c833-8b73-4f5a-a114-d147054d61a3</vt:lpwstr>
  </property>
</Properties>
</file>