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4E5D" w14:textId="77777777" w:rsidR="00000000" w:rsidRDefault="00000000">
      <w:pPr>
        <w:jc w:val="center"/>
      </w:pPr>
    </w:p>
    <w:p w14:paraId="506908D8" w14:textId="77777777" w:rsidR="00000000" w:rsidRDefault="00000000">
      <w:pPr>
        <w:pStyle w:val="Heading1"/>
      </w:pPr>
      <w:r>
        <w:rPr>
          <w:i/>
        </w:rPr>
        <w:t>TELSTRA</w:t>
      </w:r>
      <w:r>
        <w:t xml:space="preserve"> PUBLIC SWITCHED TEXT SERVICES SECTION OF THE STANDARD FORM OF AGREEMENT</w:t>
      </w:r>
    </w:p>
    <w:p w14:paraId="6885361C" w14:textId="77777777" w:rsidR="00000000" w:rsidRDefault="00000000">
      <w:pPr>
        <w:pStyle w:val="Indent20"/>
        <w:sectPr w:rsidR="00000000">
          <w:headerReference w:type="default" r:id="rId6"/>
          <w:footerReference w:type="even" r:id="rId7"/>
          <w:footerReference w:type="default" r:id="rId8"/>
          <w:footerReference w:type="first" r:id="rId9"/>
          <w:pgSz w:w="11906" w:h="16838"/>
          <w:pgMar w:top="1418" w:right="1418" w:bottom="1418" w:left="1418" w:header="720" w:footer="720" w:gutter="0"/>
          <w:pgNumType w:start="1"/>
          <w:cols w:space="720"/>
        </w:sectPr>
      </w:pPr>
    </w:p>
    <w:p w14:paraId="5979C2BC" w14:textId="77777777" w:rsidR="00000000" w:rsidRDefault="00000000">
      <w:pPr>
        <w:pStyle w:val="Indent20"/>
      </w:pPr>
    </w:p>
    <w:p w14:paraId="2F309C16" w14:textId="77777777" w:rsidR="00000000" w:rsidRDefault="00000000">
      <w:pPr>
        <w:pStyle w:val="Heading2"/>
      </w:pPr>
      <w:r>
        <w:rPr>
          <w:i/>
        </w:rPr>
        <w:t xml:space="preserve">TELSTRA </w:t>
      </w:r>
      <w:r>
        <w:t>PUBLIC SWITCHED TEXT SERVICES (</w:t>
      </w:r>
      <w:r>
        <w:rPr>
          <w:i/>
        </w:rPr>
        <w:t>PSTXTS)</w:t>
      </w:r>
      <w:r>
        <w:t xml:space="preserve"> SECTION OF THE STANDARD FORM OF AGREEMENT</w:t>
      </w:r>
    </w:p>
    <w:p w14:paraId="76E0C025" w14:textId="77777777" w:rsidR="00000000" w:rsidRDefault="00000000">
      <w:pPr>
        <w:rPr>
          <w:b/>
          <w:sz w:val="22"/>
        </w:rPr>
      </w:pPr>
      <w:r>
        <w:rPr>
          <w:b/>
          <w:sz w:val="22"/>
        </w:rPr>
        <w:t>Service withdrawn on 30 September 1999.</w:t>
      </w:r>
    </w:p>
    <w:p w14:paraId="27384893" w14:textId="77777777" w:rsidR="00000000" w:rsidRDefault="00000000">
      <w:pPr>
        <w:rPr>
          <w:lang w:val="en-GB"/>
        </w:rPr>
      </w:pPr>
      <w:r>
        <w:rPr>
          <w:lang w:val="en-GB"/>
        </w:rPr>
        <w:br w:type="page"/>
      </w:r>
    </w:p>
    <w:p w14:paraId="3544F011" w14:textId="77777777" w:rsidR="00000000" w:rsidRDefault="00000000">
      <w:pPr>
        <w:pStyle w:val="Heading2"/>
      </w:pPr>
      <w:r>
        <w:t>SEATEX DOMESTIC TELEX RETICULATION (SDTR) SERVICE</w:t>
      </w:r>
    </w:p>
    <w:p w14:paraId="30BA8CA6" w14:textId="77777777" w:rsidR="00000000" w:rsidRDefault="00000000">
      <w:r>
        <w:rPr>
          <w:b/>
          <w:sz w:val="22"/>
        </w:rPr>
        <w:t xml:space="preserve">Words that appear </w:t>
      </w:r>
      <w:r>
        <w:rPr>
          <w:b/>
          <w:i/>
          <w:sz w:val="22"/>
        </w:rPr>
        <w:t>like this</w:t>
      </w:r>
      <w:r>
        <w:rPr>
          <w:b/>
          <w:sz w:val="22"/>
        </w:rPr>
        <w:t xml:space="preserve"> in this tariff have the special meanings set out in clause 5.</w:t>
      </w:r>
    </w:p>
    <w:p w14:paraId="7FB2994A" w14:textId="77777777" w:rsidR="00000000" w:rsidRDefault="00000000">
      <w:pPr>
        <w:pStyle w:val="Heading3"/>
      </w:pPr>
      <w:r>
        <w:t>1.</w:t>
      </w:r>
      <w:r>
        <w:tab/>
        <w:t>TERM OF TARIFF</w:t>
      </w:r>
    </w:p>
    <w:p w14:paraId="01AF95B0" w14:textId="77777777" w:rsidR="00000000" w:rsidRDefault="00000000">
      <w:pPr>
        <w:pStyle w:val="NormalIndent"/>
      </w:pPr>
      <w:r>
        <w:t>This tariff takes effect on 1 July 2000.</w:t>
      </w:r>
    </w:p>
    <w:p w14:paraId="480E2055" w14:textId="77777777" w:rsidR="00000000" w:rsidRDefault="00000000">
      <w:pPr>
        <w:pStyle w:val="Heading3"/>
      </w:pPr>
      <w:r>
        <w:t>2.</w:t>
      </w:r>
      <w:r>
        <w:tab/>
        <w:t>GENERAL TERMS AND CONDITIONS</w:t>
      </w:r>
    </w:p>
    <w:p w14:paraId="60FB3AD7" w14:textId="77777777" w:rsidR="00000000" w:rsidRDefault="00000000">
      <w:pPr>
        <w:pStyle w:val="Indent0"/>
      </w:pPr>
      <w:r>
        <w:t>2.1.</w:t>
      </w:r>
      <w:r>
        <w:tab/>
        <w:t xml:space="preserve">This tariff sets out the terms and conditions on which </w:t>
      </w:r>
      <w:r>
        <w:rPr>
          <w:i/>
        </w:rPr>
        <w:t>Telstra</w:t>
      </w:r>
      <w:r>
        <w:t xml:space="preserve"> offers its SEATEX DOMESTIC TELEX RETICULATION (SDTR) service to</w:t>
      </w:r>
      <w:r>
        <w:rPr>
          <w:i/>
        </w:rPr>
        <w:t xml:space="preserve"> Customers</w:t>
      </w:r>
      <w:r>
        <w:t>.</w:t>
      </w:r>
    </w:p>
    <w:p w14:paraId="210D3268" w14:textId="77777777" w:rsidR="00000000" w:rsidRDefault="00000000">
      <w:pPr>
        <w:pStyle w:val="NormalIndent"/>
      </w:pPr>
      <w:r>
        <w:t xml:space="preserve">The </w:t>
      </w:r>
      <w:r>
        <w:rPr>
          <w:i/>
        </w:rPr>
        <w:t>General Terms and Conditions</w:t>
      </w:r>
      <w:r>
        <w:t xml:space="preserve"> form part of this tariff.  However, if there is an inconsistency between the </w:t>
      </w:r>
      <w:r>
        <w:rPr>
          <w:i/>
        </w:rPr>
        <w:t>General Terms and Conditions</w:t>
      </w:r>
      <w:r>
        <w:t xml:space="preserve"> and this tariff, then the latter prevails.</w:t>
      </w:r>
    </w:p>
    <w:p w14:paraId="125393A1" w14:textId="77777777" w:rsidR="00000000" w:rsidRDefault="00000000">
      <w:pPr>
        <w:pStyle w:val="Heading3"/>
      </w:pPr>
      <w:r>
        <w:t>3.</w:t>
      </w:r>
      <w:r>
        <w:tab/>
        <w:t>DESCRIPTION OF SERVICES</w:t>
      </w:r>
    </w:p>
    <w:p w14:paraId="2B5344C8" w14:textId="77777777" w:rsidR="00000000" w:rsidRDefault="00000000">
      <w:pPr>
        <w:pStyle w:val="Indent0"/>
      </w:pPr>
      <w:r>
        <w:t>3.1.</w:t>
      </w:r>
      <w:r>
        <w:tab/>
        <w:t xml:space="preserve">The </w:t>
      </w:r>
      <w:r>
        <w:rPr>
          <w:i/>
        </w:rPr>
        <w:t>SDTR</w:t>
      </w:r>
      <w:r>
        <w:t xml:space="preserve"> service allows </w:t>
      </w:r>
      <w:r>
        <w:rPr>
          <w:i/>
        </w:rPr>
        <w:t>Customers</w:t>
      </w:r>
      <w:r>
        <w:t xml:space="preserve"> to send and receive telex messages to and from ships at sea through specific customer interface equipment enabling message switching and signal conversion to allow messages to be passed on the </w:t>
      </w:r>
      <w:r>
        <w:rPr>
          <w:i/>
        </w:rPr>
        <w:t>Domestic Public Switched Telex Network</w:t>
      </w:r>
      <w:r>
        <w:t xml:space="preserve">. </w:t>
      </w:r>
    </w:p>
    <w:p w14:paraId="34827676" w14:textId="77777777" w:rsidR="00000000" w:rsidRDefault="00000000">
      <w:pPr>
        <w:pStyle w:val="Indent0"/>
      </w:pPr>
      <w:r>
        <w:t>3.2.</w:t>
      </w:r>
      <w:r>
        <w:tab/>
      </w:r>
      <w:r>
        <w:rPr>
          <w:i/>
        </w:rPr>
        <w:t xml:space="preserve">Customers </w:t>
      </w:r>
      <w:r>
        <w:t xml:space="preserve">may use </w:t>
      </w:r>
      <w:r>
        <w:rPr>
          <w:i/>
        </w:rPr>
        <w:t>SDTR</w:t>
      </w:r>
      <w:r>
        <w:t xml:space="preserve"> with equipment which is approved by the ACA for connection.</w:t>
      </w:r>
    </w:p>
    <w:p w14:paraId="0C07637D" w14:textId="77777777" w:rsidR="00000000" w:rsidRDefault="00000000">
      <w:pPr>
        <w:pStyle w:val="Indent0"/>
      </w:pPr>
      <w:r>
        <w:t>3.3.</w:t>
      </w:r>
      <w:r>
        <w:tab/>
      </w:r>
      <w:r>
        <w:rPr>
          <w:i/>
        </w:rPr>
        <w:t>Customers</w:t>
      </w:r>
      <w:r>
        <w:t xml:space="preserve"> must pay to </w:t>
      </w:r>
      <w:r>
        <w:rPr>
          <w:i/>
        </w:rPr>
        <w:t>Telstra</w:t>
      </w:r>
      <w:r>
        <w:t xml:space="preserve"> the service charges set out in clause 4.1 of this tariff for which they will receive:</w:t>
      </w:r>
    </w:p>
    <w:p w14:paraId="128064FD" w14:textId="77777777" w:rsidR="00000000" w:rsidRDefault="00000000">
      <w:pPr>
        <w:pStyle w:val="Indent1"/>
        <w:rPr>
          <w:i/>
        </w:rPr>
      </w:pPr>
      <w:r>
        <w:t>(a)</w:t>
      </w:r>
      <w:r>
        <w:tab/>
        <w:t xml:space="preserve">connection from </w:t>
      </w:r>
      <w:r>
        <w:rPr>
          <w:i/>
        </w:rPr>
        <w:t>Telstra's Network Boundary Point</w:t>
      </w:r>
      <w:r>
        <w:t xml:space="preserve"> to the local exchange; and</w:t>
      </w:r>
    </w:p>
    <w:p w14:paraId="62AF08B0" w14:textId="77777777" w:rsidR="00000000" w:rsidRDefault="00000000">
      <w:pPr>
        <w:pStyle w:val="Indent1"/>
      </w:pPr>
      <w:r>
        <w:t>(b)</w:t>
      </w:r>
      <w:r>
        <w:tab/>
        <w:t xml:space="preserve">access to </w:t>
      </w:r>
      <w:r>
        <w:rPr>
          <w:i/>
        </w:rPr>
        <w:t>SDTR; and</w:t>
      </w:r>
    </w:p>
    <w:p w14:paraId="6FED2C6A" w14:textId="77777777" w:rsidR="00000000" w:rsidRDefault="00000000">
      <w:pPr>
        <w:pStyle w:val="Indent1"/>
      </w:pPr>
      <w:r>
        <w:t>(c)</w:t>
      </w:r>
      <w:r>
        <w:tab/>
        <w:t xml:space="preserve">maintenance of </w:t>
      </w:r>
      <w:r>
        <w:rPr>
          <w:i/>
        </w:rPr>
        <w:t xml:space="preserve">Telstra </w:t>
      </w:r>
      <w:r>
        <w:t>owned plant and facilities.</w:t>
      </w:r>
    </w:p>
    <w:p w14:paraId="78CDCE99" w14:textId="77777777" w:rsidR="00000000" w:rsidRDefault="00000000">
      <w:pPr>
        <w:ind w:left="737"/>
      </w:pPr>
    </w:p>
    <w:p w14:paraId="0A7BB999" w14:textId="77777777" w:rsidR="00000000" w:rsidRDefault="00000000">
      <w:pPr>
        <w:pStyle w:val="Indent0"/>
      </w:pPr>
      <w:r>
        <w:t>3.4.</w:t>
      </w:r>
      <w:r>
        <w:tab/>
        <w:t xml:space="preserve">If </w:t>
      </w:r>
      <w:r>
        <w:rPr>
          <w:i/>
        </w:rPr>
        <w:t xml:space="preserve">Customers </w:t>
      </w:r>
      <w:r>
        <w:t xml:space="preserve">connect equipment for the </w:t>
      </w:r>
      <w:r>
        <w:rPr>
          <w:i/>
        </w:rPr>
        <w:t xml:space="preserve">SDTR </w:t>
      </w:r>
      <w:r>
        <w:t xml:space="preserve">which is approved by the ACA, </w:t>
      </w:r>
      <w:r>
        <w:rPr>
          <w:i/>
        </w:rPr>
        <w:t>Telstra</w:t>
      </w:r>
      <w:r>
        <w:t xml:space="preserve"> will charge the </w:t>
      </w:r>
      <w:r>
        <w:rPr>
          <w:i/>
        </w:rPr>
        <w:t xml:space="preserve">Customer </w:t>
      </w:r>
      <w:r>
        <w:t>for making or receiving calls at the rates set out in this tariff.</w:t>
      </w:r>
    </w:p>
    <w:p w14:paraId="478BD95B" w14:textId="77777777" w:rsidR="00000000" w:rsidRDefault="00000000">
      <w:pPr>
        <w:pStyle w:val="Heading3"/>
      </w:pPr>
      <w:r>
        <w:t>4.</w:t>
      </w:r>
      <w:r>
        <w:tab/>
        <w:t>SDTR SERVICE CHARGES</w:t>
      </w:r>
    </w:p>
    <w:p w14:paraId="5B1E496E" w14:textId="77777777" w:rsidR="00000000" w:rsidRDefault="00000000">
      <w:pPr>
        <w:pStyle w:val="Heading4"/>
      </w:pPr>
      <w:r>
        <w:t>Call Charges</w:t>
      </w:r>
    </w:p>
    <w:p w14:paraId="33F3E4D7" w14:textId="77777777" w:rsidR="00000000" w:rsidRDefault="00000000">
      <w:pPr>
        <w:pStyle w:val="Indent0"/>
      </w:pPr>
      <w:r>
        <w:t>4.1.</w:t>
      </w:r>
      <w:r>
        <w:tab/>
      </w:r>
      <w:r>
        <w:rPr>
          <w:i/>
        </w:rPr>
        <w:t xml:space="preserve">Customers </w:t>
      </w:r>
      <w:r>
        <w:t>must pay</w:t>
      </w:r>
      <w:r>
        <w:rPr>
          <w:i/>
        </w:rPr>
        <w:t xml:space="preserve"> Telstra</w:t>
      </w:r>
      <w:r>
        <w:t xml:space="preserve"> the following charges for messages handled on the </w:t>
      </w:r>
      <w:r>
        <w:rPr>
          <w:i/>
        </w:rPr>
        <w:t>Domestic Public Switched Telex Network</w:t>
      </w:r>
      <w:r>
        <w:t>:</w:t>
      </w:r>
    </w:p>
    <w:p w14:paraId="2E9EEAD1" w14:textId="77777777" w:rsidR="00000000" w:rsidRDefault="00000000">
      <w:pPr>
        <w:ind w:left="1474" w:hanging="737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for unassisted standard calls - 45 cents [</w:t>
      </w:r>
      <w:r>
        <w:rPr>
          <w:i/>
        </w:rPr>
        <w:t>49.5 cents</w:t>
      </w:r>
      <w:r>
        <w:t>] per minute; and</w:t>
      </w:r>
    </w:p>
    <w:p w14:paraId="21A31E2F" w14:textId="77777777" w:rsidR="00000000" w:rsidRDefault="00000000">
      <w:pPr>
        <w:ind w:left="1474" w:hanging="737"/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t>for calls requiring operator assistance or input - $4.00 [</w:t>
      </w:r>
      <w:r>
        <w:rPr>
          <w:i/>
        </w:rPr>
        <w:t>$4.40</w:t>
      </w:r>
      <w:r>
        <w:t>] per message.</w:t>
      </w:r>
    </w:p>
    <w:p w14:paraId="09C9A4C7" w14:textId="77777777" w:rsidR="00000000" w:rsidRDefault="00000000">
      <w:pPr>
        <w:pStyle w:val="Heading3"/>
      </w:pPr>
      <w:r>
        <w:br w:type="page"/>
      </w:r>
      <w:r>
        <w:lastRenderedPageBreak/>
        <w:t>5.</w:t>
      </w:r>
      <w:r>
        <w:tab/>
        <w:t>Interpretation</w:t>
      </w:r>
    </w:p>
    <w:p w14:paraId="17C32682" w14:textId="77777777" w:rsidR="00000000" w:rsidRDefault="00000000">
      <w:pPr>
        <w:pStyle w:val="NormalIndent"/>
      </w:pPr>
      <w:r>
        <w:t>In this tariff, the following words and abbreviations have the following meanings:</w:t>
      </w:r>
    </w:p>
    <w:p w14:paraId="34A91641" w14:textId="77777777" w:rsidR="00000000" w:rsidRDefault="00000000">
      <w:pPr>
        <w:pStyle w:val="NormalIndent"/>
      </w:pPr>
    </w:p>
    <w:p w14:paraId="55C78AF6" w14:textId="77777777" w:rsidR="00000000" w:rsidRDefault="00000000">
      <w:pPr>
        <w:pStyle w:val="NormalIndent"/>
        <w:rPr>
          <w:b/>
          <w:i/>
        </w:rPr>
      </w:pPr>
      <w:r>
        <w:rPr>
          <w:b/>
          <w:i/>
        </w:rPr>
        <w:t>ACA</w:t>
      </w:r>
      <w:r>
        <w:t xml:space="preserve"> means the Australian Communications Authority.</w:t>
      </w:r>
    </w:p>
    <w:p w14:paraId="632AE6EB" w14:textId="77777777" w:rsidR="00000000" w:rsidRDefault="00000000">
      <w:pPr>
        <w:pStyle w:val="NormalIndent"/>
      </w:pPr>
      <w:r>
        <w:rPr>
          <w:b/>
          <w:i/>
        </w:rPr>
        <w:t>Custome</w:t>
      </w:r>
      <w:r>
        <w:rPr>
          <w:i/>
        </w:rPr>
        <w:t xml:space="preserve">r </w:t>
      </w:r>
      <w:r>
        <w:t xml:space="preserve">has the meaning given to it in </w:t>
      </w:r>
      <w:r>
        <w:rPr>
          <w:i/>
        </w:rPr>
        <w:t>Telstra’s</w:t>
      </w:r>
      <w:r>
        <w:t xml:space="preserve"> </w:t>
      </w:r>
      <w:r>
        <w:rPr>
          <w:i/>
        </w:rPr>
        <w:t>General Terms and Conditions.</w:t>
      </w:r>
    </w:p>
    <w:p w14:paraId="7FE9A041" w14:textId="77777777" w:rsidR="00000000" w:rsidRDefault="00000000">
      <w:pPr>
        <w:pStyle w:val="NormalIndent"/>
      </w:pPr>
      <w:r>
        <w:rPr>
          <w:b/>
          <w:i/>
        </w:rPr>
        <w:t>Domestic Public Switched Telex Network</w:t>
      </w:r>
      <w:r>
        <w:t xml:space="preserve"> means </w:t>
      </w:r>
      <w:r>
        <w:rPr>
          <w:i/>
        </w:rPr>
        <w:t xml:space="preserve">Telstra’s </w:t>
      </w:r>
      <w:r>
        <w:t>national telex network within Australia.</w:t>
      </w:r>
    </w:p>
    <w:p w14:paraId="40B5EA7B" w14:textId="77777777" w:rsidR="00000000" w:rsidRDefault="00000000">
      <w:pPr>
        <w:pStyle w:val="NormalIndent"/>
      </w:pPr>
      <w:r>
        <w:rPr>
          <w:b/>
          <w:i/>
        </w:rPr>
        <w:t>General Terms and Conditions</w:t>
      </w:r>
      <w:r>
        <w:t xml:space="preserve"> means Telstra’s general terms and conditions document for Basic Carriage Services.</w:t>
      </w:r>
    </w:p>
    <w:p w14:paraId="1DF136BE" w14:textId="77777777" w:rsidR="00000000" w:rsidRDefault="00000000">
      <w:pPr>
        <w:pStyle w:val="NormalIndent"/>
      </w:pPr>
      <w:r>
        <w:rPr>
          <w:b/>
          <w:i/>
        </w:rPr>
        <w:t>Network Boundary Point</w:t>
      </w:r>
      <w:r>
        <w:rPr>
          <w:i/>
        </w:rPr>
        <w:t xml:space="preserve"> </w:t>
      </w:r>
      <w:r>
        <w:t>has the meaning as set out in the Telecommunications Act 1991.</w:t>
      </w:r>
    </w:p>
    <w:p w14:paraId="49CDEA7E" w14:textId="77777777" w:rsidR="00000000" w:rsidRDefault="00000000">
      <w:pPr>
        <w:pStyle w:val="NormalIndent"/>
      </w:pPr>
      <w:r>
        <w:rPr>
          <w:b/>
          <w:i/>
        </w:rPr>
        <w:t>SDTR</w:t>
      </w:r>
      <w:r>
        <w:t xml:space="preserve"> means the Seatex Domestic Telex Reticulation.</w:t>
      </w:r>
    </w:p>
    <w:p w14:paraId="7BA9CAF2" w14:textId="77777777" w:rsidR="00000000" w:rsidRDefault="00000000">
      <w:pPr>
        <w:pStyle w:val="NormalIndent"/>
      </w:pPr>
      <w:r>
        <w:rPr>
          <w:b/>
          <w:i/>
        </w:rPr>
        <w:t>Telstra</w:t>
      </w:r>
      <w:r>
        <w:rPr>
          <w:i/>
        </w:rPr>
        <w:t xml:space="preserve"> </w:t>
      </w:r>
      <w:r>
        <w:t xml:space="preserve"> means Telstra Corporation Limited (ACN 051 775 556), and includes </w:t>
      </w:r>
      <w:r>
        <w:rPr>
          <w:i/>
        </w:rPr>
        <w:t xml:space="preserve">Telstra’s </w:t>
      </w:r>
      <w:r>
        <w:t xml:space="preserve"> successors and assigns.  </w:t>
      </w:r>
    </w:p>
    <w:p w14:paraId="3BDBAAB0" w14:textId="77777777" w:rsidR="00000000" w:rsidRDefault="00000000"/>
    <w:p w14:paraId="752FF6AE" w14:textId="77777777" w:rsidR="00000000" w:rsidRDefault="00000000">
      <w:r>
        <w:br w:type="page"/>
      </w:r>
    </w:p>
    <w:p w14:paraId="4C175BC2" w14:textId="77777777" w:rsidR="00000000" w:rsidRDefault="00000000">
      <w:pPr>
        <w:pStyle w:val="Heading2"/>
      </w:pPr>
      <w:r>
        <w:t>SCHEDULE 1</w:t>
      </w:r>
      <w:r>
        <w:tab/>
        <w:t>Telex Service Charges</w:t>
      </w:r>
    </w:p>
    <w:p w14:paraId="372806B5" w14:textId="77777777" w:rsidR="00000000" w:rsidRDefault="00000000">
      <w:pPr>
        <w:rPr>
          <w:b/>
        </w:rPr>
      </w:pPr>
      <w:r>
        <w:rPr>
          <w:b/>
        </w:rPr>
        <w:t>Telex Service withdrawn on 30 September 1999.</w:t>
      </w:r>
    </w:p>
    <w:p w14:paraId="15961071" w14:textId="77777777" w:rsidR="00643A79" w:rsidRDefault="00643A79">
      <w:pPr>
        <w:rPr>
          <w:rFonts w:ascii="Arial Narrow" w:hAnsi="Arial Narrow"/>
        </w:rPr>
      </w:pPr>
    </w:p>
    <w:sectPr w:rsidR="00643A79">
      <w:footerReference w:type="even" r:id="rId10"/>
      <w:footerReference w:type="default" r:id="rId11"/>
      <w:footerReference w:type="first" r:id="rId12"/>
      <w:type w:val="continuous"/>
      <w:pgSz w:w="11906" w:h="16838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3F4D" w14:textId="77777777" w:rsidR="00643A79" w:rsidRDefault="00643A79">
      <w:pPr>
        <w:spacing w:before="0" w:after="0"/>
      </w:pPr>
      <w:r>
        <w:separator/>
      </w:r>
    </w:p>
  </w:endnote>
  <w:endnote w:type="continuationSeparator" w:id="0">
    <w:p w14:paraId="7EAA2D19" w14:textId="77777777" w:rsidR="00643A79" w:rsidRDefault="00643A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A10A" w14:textId="77777777" w:rsidR="00850010" w:rsidRDefault="00850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FA39" w14:textId="77777777" w:rsidR="00850010" w:rsidRDefault="008500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EEB09" w14:textId="77777777" w:rsidR="00850010" w:rsidRDefault="0085001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9AD17" w14:textId="77777777" w:rsidR="00850010" w:rsidRDefault="0085001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04D18" w14:textId="77777777" w:rsidR="00000000" w:rsidRDefault="00000000">
    <w:pPr>
      <w:pStyle w:val="Footer"/>
      <w:pBdr>
        <w:top w:val="single" w:sz="6" w:space="1" w:color="auto"/>
      </w:pBdr>
      <w:tabs>
        <w:tab w:val="clear" w:pos="8931"/>
        <w:tab w:val="right" w:pos="7939"/>
      </w:tabs>
      <w:rPr>
        <w:rFonts w:ascii="Arial Narrow" w:hAnsi="Arial Narrow"/>
        <w:i/>
        <w:sz w:val="18"/>
      </w:rPr>
    </w:pPr>
    <w:r>
      <w:rPr>
        <w:rFonts w:ascii="Arial Narrow" w:hAnsi="Arial Narrow"/>
        <w:i/>
        <w:sz w:val="18"/>
      </w:rPr>
      <w:tab/>
      <w:t xml:space="preserve">Attachment 2 Page </w:t>
    </w:r>
    <w:r>
      <w:rPr>
        <w:rFonts w:ascii="Arial Narrow" w:hAnsi="Arial Narrow"/>
        <w:i/>
        <w:sz w:val="18"/>
      </w:rPr>
      <w:fldChar w:fldCharType="begin"/>
    </w:r>
    <w:r>
      <w:rPr>
        <w:rFonts w:ascii="Arial Narrow" w:hAnsi="Arial Narrow"/>
        <w:i/>
        <w:sz w:val="18"/>
      </w:rPr>
      <w:instrText xml:space="preserve">page </w:instrText>
    </w:r>
    <w:r>
      <w:rPr>
        <w:rFonts w:ascii="Arial Narrow" w:hAnsi="Arial Narrow"/>
        <w:i/>
        <w:sz w:val="18"/>
      </w:rPr>
      <w:fldChar w:fldCharType="separate"/>
    </w:r>
    <w:r>
      <w:rPr>
        <w:rFonts w:ascii="Arial Narrow" w:hAnsi="Arial Narrow"/>
        <w:i/>
        <w:noProof/>
        <w:sz w:val="18"/>
      </w:rPr>
      <w:t>4</w:t>
    </w:r>
    <w:r>
      <w:rPr>
        <w:rFonts w:ascii="Arial Narrow" w:hAnsi="Arial Narrow"/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2A8AA" w14:textId="77777777" w:rsidR="00850010" w:rsidRDefault="00850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F8BD3" w14:textId="77777777" w:rsidR="00643A79" w:rsidRDefault="00643A79">
      <w:pPr>
        <w:spacing w:before="0" w:after="0"/>
      </w:pPr>
      <w:r>
        <w:separator/>
      </w:r>
    </w:p>
  </w:footnote>
  <w:footnote w:type="continuationSeparator" w:id="0">
    <w:p w14:paraId="3E5638B9" w14:textId="77777777" w:rsidR="00643A79" w:rsidRDefault="00643A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A0F0" w14:textId="77777777" w:rsidR="00000000" w:rsidRDefault="00000000">
    <w:pPr>
      <w:pStyle w:val="Header"/>
      <w:pBdr>
        <w:bottom w:val="single" w:sz="6" w:space="1" w:color="auto"/>
      </w:pBdr>
      <w:rPr>
        <w:rFonts w:ascii="Arial Narrow" w:hAnsi="Arial Narrow"/>
        <w:sz w:val="18"/>
      </w:rPr>
    </w:pPr>
    <w:r>
      <w:rPr>
        <w:rFonts w:ascii="Arial Narrow" w:hAnsi="Arial Narrow"/>
        <w:i/>
        <w:sz w:val="18"/>
      </w:rPr>
      <w:t>Public Switched Text Services Tariff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trackRevisions/>
  <w:doNotTrackMoves/>
  <w:defaultTabStop w:val="73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60BE"/>
    <w:rsid w:val="00643A79"/>
    <w:rsid w:val="00850010"/>
    <w:rsid w:val="0089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0E9AA"/>
  <w15:chartTrackingRefBased/>
  <w15:docId w15:val="{4126EDED-4AD0-41DF-985A-64488C6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lang w:eastAsia="en-US"/>
    </w:rPr>
  </w:style>
  <w:style w:type="paragraph" w:styleId="Heading1">
    <w:name w:val="heading 1"/>
    <w:basedOn w:val="Normal"/>
    <w:next w:val="Heading2"/>
    <w:qFormat/>
    <w:pPr>
      <w:pBdr>
        <w:bottom w:val="single" w:sz="12" w:space="1" w:color="auto"/>
      </w:pBdr>
      <w:ind w:left="737" w:hanging="737"/>
      <w:outlineLvl w:val="0"/>
    </w:pPr>
    <w:rPr>
      <w:rFonts w:ascii="Arial Narrow" w:hAnsi="Arial Narrow"/>
      <w:b/>
      <w:caps/>
      <w:sz w:val="32"/>
    </w:rPr>
  </w:style>
  <w:style w:type="paragraph" w:styleId="Heading2">
    <w:name w:val="heading 2"/>
    <w:basedOn w:val="Normal"/>
    <w:qFormat/>
    <w:pPr>
      <w:outlineLvl w:val="1"/>
    </w:pPr>
    <w:rPr>
      <w:rFonts w:ascii="Arial Narrow" w:hAnsi="Arial Narrow"/>
      <w:b/>
      <w:caps/>
      <w:sz w:val="32"/>
    </w:rPr>
  </w:style>
  <w:style w:type="paragraph" w:styleId="Heading3">
    <w:name w:val="heading 3"/>
    <w:basedOn w:val="Normal"/>
    <w:next w:val="Indent0"/>
    <w:qFormat/>
    <w:pPr>
      <w:pBdr>
        <w:bottom w:val="single" w:sz="12" w:space="1" w:color="auto"/>
      </w:pBdr>
      <w:outlineLvl w:val="2"/>
    </w:pPr>
    <w:rPr>
      <w:rFonts w:ascii="Arial Narrow" w:hAnsi="Arial Narrow"/>
      <w:b/>
      <w:caps/>
      <w:sz w:val="24"/>
    </w:rPr>
  </w:style>
  <w:style w:type="paragraph" w:styleId="Heading4">
    <w:name w:val="heading 4"/>
    <w:basedOn w:val="Heading1"/>
    <w:next w:val="Indent0"/>
    <w:qFormat/>
    <w:pPr>
      <w:pBdr>
        <w:bottom w:val="none" w:sz="0" w:space="0" w:color="auto"/>
      </w:pBdr>
      <w:ind w:firstLine="0"/>
      <w:outlineLvl w:val="3"/>
    </w:pPr>
    <w:rPr>
      <w:i/>
      <w:caps w:val="0"/>
      <w:sz w:val="23"/>
    </w:rPr>
  </w:style>
  <w:style w:type="paragraph" w:styleId="Heading5">
    <w:name w:val="heading 5"/>
    <w:basedOn w:val="Heading1"/>
    <w:qFormat/>
    <w:pPr>
      <w:outlineLvl w:val="4"/>
    </w:pPr>
    <w:rPr>
      <w:caps w:val="0"/>
      <w:sz w:val="20"/>
    </w:rPr>
  </w:style>
  <w:style w:type="paragraph" w:styleId="Heading6">
    <w:name w:val="heading 6"/>
    <w:basedOn w:val="Normal"/>
    <w:qFormat/>
    <w:pPr>
      <w:ind w:left="1474" w:hanging="737"/>
      <w:outlineLvl w:val="5"/>
    </w:pPr>
    <w:rPr>
      <w:b/>
    </w:rPr>
  </w:style>
  <w:style w:type="paragraph" w:styleId="Heading7">
    <w:name w:val="heading 7"/>
    <w:basedOn w:val="Normal"/>
    <w:qFormat/>
    <w:pPr>
      <w:ind w:left="2211" w:hanging="737"/>
      <w:outlineLvl w:val="6"/>
    </w:pPr>
    <w:rPr>
      <w:b/>
    </w:rPr>
  </w:style>
  <w:style w:type="paragraph" w:styleId="Heading8">
    <w:name w:val="heading 8"/>
    <w:basedOn w:val="Normal"/>
    <w:qFormat/>
    <w:pPr>
      <w:ind w:left="2948" w:hanging="737"/>
      <w:outlineLvl w:val="7"/>
    </w:pPr>
    <w:rPr>
      <w:b/>
    </w:rPr>
  </w:style>
  <w:style w:type="paragraph" w:styleId="Heading9">
    <w:name w:val="heading 9"/>
    <w:basedOn w:val="Heading1"/>
    <w:qFormat/>
    <w:pPr>
      <w:ind w:left="5896"/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0">
    <w:name w:val="Indent 0"/>
    <w:basedOn w:val="Normal"/>
    <w:next w:val="Normal"/>
    <w:pPr>
      <w:ind w:left="737" w:hanging="737"/>
    </w:pPr>
  </w:style>
  <w:style w:type="paragraph" w:styleId="TOC8">
    <w:name w:val="toc 8"/>
    <w:basedOn w:val="Normal"/>
    <w:next w:val="Normal"/>
    <w:semiHidden/>
    <w:pPr>
      <w:tabs>
        <w:tab w:val="right" w:pos="9070"/>
      </w:tabs>
      <w:spacing w:after="0"/>
      <w:ind w:left="1610"/>
    </w:pPr>
  </w:style>
  <w:style w:type="paragraph" w:styleId="TOC7">
    <w:name w:val="toc 7"/>
    <w:basedOn w:val="Normal"/>
    <w:next w:val="Normal"/>
    <w:semiHidden/>
    <w:pPr>
      <w:tabs>
        <w:tab w:val="right" w:pos="9070"/>
      </w:tabs>
      <w:spacing w:after="0"/>
      <w:ind w:left="1380"/>
    </w:pPr>
  </w:style>
  <w:style w:type="paragraph" w:styleId="TOC6">
    <w:name w:val="toc 6"/>
    <w:basedOn w:val="Normal"/>
    <w:next w:val="Normal"/>
    <w:semiHidden/>
    <w:pPr>
      <w:tabs>
        <w:tab w:val="right" w:pos="9070"/>
      </w:tabs>
      <w:spacing w:after="0"/>
      <w:ind w:left="1150"/>
    </w:pPr>
  </w:style>
  <w:style w:type="paragraph" w:styleId="TOC5">
    <w:name w:val="toc 5"/>
    <w:basedOn w:val="Normal"/>
    <w:next w:val="Normal"/>
    <w:semiHidden/>
    <w:pPr>
      <w:tabs>
        <w:tab w:val="right" w:pos="9070"/>
      </w:tabs>
      <w:spacing w:after="0"/>
      <w:ind w:left="920"/>
    </w:pPr>
  </w:style>
  <w:style w:type="paragraph" w:styleId="TOC4">
    <w:name w:val="toc 4"/>
    <w:basedOn w:val="Normal"/>
    <w:next w:val="Normal"/>
    <w:semiHidden/>
    <w:pPr>
      <w:tabs>
        <w:tab w:val="right" w:pos="9070"/>
      </w:tabs>
      <w:spacing w:after="0"/>
      <w:ind w:left="690"/>
    </w:pPr>
  </w:style>
  <w:style w:type="paragraph" w:styleId="TOC3">
    <w:name w:val="toc 3"/>
    <w:basedOn w:val="Normal"/>
    <w:next w:val="Normal"/>
    <w:semiHidden/>
    <w:pPr>
      <w:tabs>
        <w:tab w:val="right" w:pos="9070"/>
      </w:tabs>
      <w:spacing w:after="0"/>
      <w:ind w:left="460"/>
    </w:pPr>
  </w:style>
  <w:style w:type="paragraph" w:styleId="TOC2">
    <w:name w:val="toc 2"/>
    <w:basedOn w:val="Normal"/>
    <w:next w:val="Normal"/>
    <w:semiHidden/>
    <w:pPr>
      <w:tabs>
        <w:tab w:val="right" w:pos="9070"/>
      </w:tabs>
      <w:spacing w:after="0"/>
      <w:ind w:left="232"/>
    </w:pPr>
    <w:rPr>
      <w:b/>
    </w:rPr>
  </w:style>
  <w:style w:type="paragraph" w:styleId="TOC1">
    <w:name w:val="toc 1"/>
    <w:basedOn w:val="Normal"/>
    <w:next w:val="Normal"/>
    <w:semiHidden/>
    <w:pPr>
      <w:keepNext/>
      <w:tabs>
        <w:tab w:val="right" w:pos="9070"/>
      </w:tabs>
      <w:spacing w:after="0"/>
    </w:pPr>
    <w:rPr>
      <w:rFonts w:ascii="Arial Narrow" w:hAnsi="Arial Narrow"/>
      <w:b/>
      <w:caps/>
      <w:sz w:val="24"/>
    </w:rPr>
  </w:style>
  <w:style w:type="paragraph" w:styleId="Footer">
    <w:name w:val="footer"/>
    <w:basedOn w:val="Normal"/>
    <w:next w:val="Normal"/>
    <w:semiHidden/>
    <w:pPr>
      <w:tabs>
        <w:tab w:val="right" w:pos="8931"/>
      </w:tabs>
      <w:jc w:val="both"/>
    </w:pPr>
    <w:rPr>
      <w:sz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NormalIndent">
    <w:name w:val="Normal Indent"/>
    <w:basedOn w:val="Normal"/>
    <w:next w:val="Normal"/>
    <w:semiHidden/>
    <w:pPr>
      <w:ind w:left="737"/>
    </w:pPr>
  </w:style>
  <w:style w:type="paragraph" w:customStyle="1" w:styleId="Indent1">
    <w:name w:val="Indent 1"/>
    <w:basedOn w:val="Normal"/>
    <w:pPr>
      <w:ind w:left="1474" w:hanging="737"/>
    </w:pPr>
  </w:style>
  <w:style w:type="paragraph" w:customStyle="1" w:styleId="Indent2">
    <w:name w:val="Indent 2"/>
    <w:basedOn w:val="Normal"/>
    <w:next w:val="Normal"/>
    <w:pPr>
      <w:ind w:left="2211" w:hanging="737"/>
    </w:pPr>
  </w:style>
  <w:style w:type="paragraph" w:customStyle="1" w:styleId="Indent3">
    <w:name w:val="Indent 3"/>
    <w:basedOn w:val="Normal"/>
    <w:next w:val="Normal"/>
    <w:pPr>
      <w:ind w:left="2948" w:hanging="737"/>
    </w:pPr>
  </w:style>
  <w:style w:type="paragraph" w:customStyle="1" w:styleId="Indent4">
    <w:name w:val="Indent 4"/>
    <w:basedOn w:val="Normal"/>
    <w:next w:val="Normal"/>
    <w:pPr>
      <w:ind w:left="3686" w:hanging="737"/>
    </w:pPr>
  </w:style>
  <w:style w:type="paragraph" w:customStyle="1" w:styleId="Indent5">
    <w:name w:val="Indent 5"/>
    <w:basedOn w:val="Normal"/>
    <w:next w:val="Normal"/>
    <w:pPr>
      <w:ind w:left="4423" w:hanging="737"/>
    </w:pPr>
  </w:style>
  <w:style w:type="paragraph" w:customStyle="1" w:styleId="ArialN16">
    <w:name w:val="ArialN16"/>
    <w:basedOn w:val="Normal"/>
    <w:rPr>
      <w:rFonts w:ascii="Arial Narrow" w:hAnsi="Arial Narrow"/>
      <w:b/>
      <w:sz w:val="32"/>
    </w:rPr>
  </w:style>
  <w:style w:type="paragraph" w:customStyle="1" w:styleId="Title1">
    <w:name w:val="Title1"/>
    <w:basedOn w:val="Normal"/>
    <w:pPr>
      <w:jc w:val="center"/>
    </w:pPr>
    <w:rPr>
      <w:rFonts w:ascii="Arial Narrow" w:hAnsi="Arial Narrow"/>
      <w:b/>
      <w:sz w:val="32"/>
    </w:rPr>
  </w:style>
  <w:style w:type="paragraph" w:styleId="TOC9">
    <w:name w:val="toc 9"/>
    <w:basedOn w:val="Normal"/>
    <w:next w:val="Normal"/>
    <w:semiHidden/>
    <w:pPr>
      <w:tabs>
        <w:tab w:val="right" w:pos="9070"/>
      </w:tabs>
      <w:spacing w:after="0"/>
      <w:ind w:left="1840"/>
    </w:pPr>
  </w:style>
  <w:style w:type="paragraph" w:customStyle="1" w:styleId="Indent10">
    <w:name w:val="Indent1"/>
    <w:basedOn w:val="Normal"/>
    <w:next w:val="Normal"/>
    <w:pPr>
      <w:tabs>
        <w:tab w:val="left" w:pos="1134"/>
      </w:tabs>
      <w:spacing w:before="0" w:after="0"/>
      <w:ind w:left="1134" w:hanging="567"/>
    </w:pPr>
    <w:rPr>
      <w:rFonts w:ascii="CG Times (W1)" w:hAnsi="CG Times (W1)"/>
      <w:lang w:val="en-GB"/>
    </w:rPr>
  </w:style>
  <w:style w:type="paragraph" w:customStyle="1" w:styleId="Indent20">
    <w:name w:val="Indent2"/>
    <w:basedOn w:val="Indent10"/>
    <w:next w:val="Normal"/>
    <w:pPr>
      <w:tabs>
        <w:tab w:val="clear" w:pos="1134"/>
        <w:tab w:val="left" w:pos="1701"/>
      </w:tabs>
      <w:ind w:left="1701"/>
    </w:pPr>
  </w:style>
  <w:style w:type="paragraph" w:customStyle="1" w:styleId="NormalIndent2">
    <w:name w:val="Normal Indent 2"/>
    <w:basedOn w:val="Normal"/>
    <w:next w:val="Normal"/>
    <w:pPr>
      <w:ind w:left="1474"/>
    </w:pPr>
    <w:rPr>
      <w:lang w:val="en-GB"/>
    </w:rPr>
  </w:style>
  <w:style w:type="paragraph" w:customStyle="1" w:styleId="NormalIndent3">
    <w:name w:val="Normal Indent 3"/>
    <w:basedOn w:val="NormalIndent2"/>
    <w:next w:val="Normal"/>
    <w:pPr>
      <w:ind w:left="1701"/>
    </w:pPr>
  </w:style>
  <w:style w:type="paragraph" w:customStyle="1" w:styleId="MAINTITLES">
    <w:name w:val="MAIN TITLES"/>
    <w:pPr>
      <w:spacing w:line="240" w:lineRule="exact"/>
      <w:jc w:val="center"/>
    </w:pPr>
    <w:rPr>
      <w:rFonts w:ascii="CG Times (W1)" w:hAnsi="CG Times (W1)"/>
      <w:b/>
      <w:noProof/>
      <w:sz w:val="28"/>
      <w:lang w:eastAsia="en-US"/>
    </w:rPr>
  </w:style>
  <w:style w:type="paragraph" w:customStyle="1" w:styleId="NormalTariff">
    <w:name w:val="Normal Tariff"/>
    <w:pPr>
      <w:tabs>
        <w:tab w:val="left" w:pos="7371"/>
      </w:tabs>
      <w:ind w:left="851" w:hanging="567"/>
    </w:pPr>
    <w:rPr>
      <w:noProof/>
      <w:lang w:eastAsia="en-US"/>
    </w:rPr>
  </w:style>
  <w:style w:type="paragraph" w:customStyle="1" w:styleId="Table3">
    <w:name w:val="Table 3"/>
    <w:next w:val="Normal"/>
    <w:rPr>
      <w:noProof/>
      <w:sz w:val="1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dent00">
    <w:name w:val="Indent0"/>
    <w:basedOn w:val="Indent10"/>
    <w:pPr>
      <w:tabs>
        <w:tab w:val="clear" w:pos="1134"/>
        <w:tab w:val="left" w:pos="567"/>
      </w:tabs>
      <w:ind w:left="567"/>
    </w:pPr>
    <w:rPr>
      <w:rFonts w:ascii="Century" w:hAnsi="Century"/>
    </w:rPr>
  </w:style>
  <w:style w:type="paragraph" w:styleId="FootnoteText">
    <w:name w:val="footnote text"/>
    <w:basedOn w:val="Normal"/>
    <w:semiHidden/>
    <w:pPr>
      <w:spacing w:before="0" w:after="60"/>
      <w:ind w:left="284" w:hanging="284"/>
    </w:pPr>
    <w:rPr>
      <w:noProof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before="240"/>
      <w:ind w:left="720" w:hanging="720"/>
    </w:pPr>
  </w:style>
  <w:style w:type="paragraph" w:styleId="Revision">
    <w:name w:val="Revision"/>
    <w:hidden/>
    <w:uiPriority w:val="99"/>
    <w:semiHidden/>
    <w:rsid w:val="008500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TELSTRA PUBLIC SWITCHED TEXT SERVICES SECTION OF THE STANDARD FORM OF AGREEMENT</vt:lpstr>
    </vt:vector>
  </TitlesOfParts>
  <Company>Telstra Corporation Limited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PUBLIC SWITCHED TEXT SERVICES SECTION OF THE STANDARD FORM OF AGREEMENT</dc:title>
  <dc:subject>This section stes out the terms and conditions under which Telstra supplies it Public Switched Text Services</dc:subject>
  <dc:creator>Text, Seatex, Seatex Domestic Telex Reticulation, SDTR, Telex</dc:creator>
  <cp:keywords>Text, Seatex, Seatex Domestic Telex Reticulation, SDTR, Telex</cp:keywords>
  <dc:description>This section stes out the terms and conditions under which Telstra supplies it Public Switched Text Services</dc:description>
  <cp:lastModifiedBy>Corona, Adrian</cp:lastModifiedBy>
  <cp:revision>2</cp:revision>
  <dcterms:created xsi:type="dcterms:W3CDTF">2025-03-18T10:16:00Z</dcterms:created>
  <dcterms:modified xsi:type="dcterms:W3CDTF">2025-03-18T10:16:00Z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ab56b7-6ec4-4073-8d92-ac7cc2e7a5df_Enabled">
    <vt:lpwstr>true</vt:lpwstr>
  </property>
  <property fmtid="{D5CDD505-2E9C-101B-9397-08002B2CF9AE}" pid="3" name="MSIP_Label_f4ab56b7-6ec4-4073-8d92-ac7cc2e7a5df_SetDate">
    <vt:lpwstr>2025-03-18T10:16:44Z</vt:lpwstr>
  </property>
  <property fmtid="{D5CDD505-2E9C-101B-9397-08002B2CF9AE}" pid="4" name="MSIP_Label_f4ab56b7-6ec4-4073-8d92-ac7cc2e7a5df_Method">
    <vt:lpwstr>Standard</vt:lpwstr>
  </property>
  <property fmtid="{D5CDD505-2E9C-101B-9397-08002B2CF9AE}" pid="5" name="MSIP_Label_f4ab56b7-6ec4-4073-8d92-ac7cc2e7a5df_Name">
    <vt:lpwstr>mipsl_General</vt:lpwstr>
  </property>
  <property fmtid="{D5CDD505-2E9C-101B-9397-08002B2CF9AE}" pid="6" name="MSIP_Label_f4ab56b7-6ec4-4073-8d92-ac7cc2e7a5df_SiteId">
    <vt:lpwstr>49dfc6a3-5fb7-49f4-adea-c54e725bb854</vt:lpwstr>
  </property>
  <property fmtid="{D5CDD505-2E9C-101B-9397-08002B2CF9AE}" pid="7" name="MSIP_Label_f4ab56b7-6ec4-4073-8d92-ac7cc2e7a5df_ActionId">
    <vt:lpwstr>2b0f7818-c654-4c1d-8b51-c7d990e67072</vt:lpwstr>
  </property>
  <property fmtid="{D5CDD505-2E9C-101B-9397-08002B2CF9AE}" pid="8" name="MSIP_Label_f4ab56b7-6ec4-4073-8d92-ac7cc2e7a5df_ContentBits">
    <vt:lpwstr>0</vt:lpwstr>
  </property>
</Properties>
</file>