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8790F" w14:textId="77777777" w:rsidR="00D43DC8" w:rsidRDefault="00D43DC8">
      <w:pPr>
        <w:pStyle w:val="TOCHeading"/>
      </w:pPr>
      <w:bookmarkStart w:id="0" w:name="Temp"/>
      <w:bookmarkEnd w:id="0"/>
      <w:r>
        <w:t>Contents</w:t>
      </w:r>
    </w:p>
    <w:p w14:paraId="3E1928AA" w14:textId="77777777" w:rsidR="00D43DC8" w:rsidRDefault="00D43DC8">
      <w:pPr>
        <w:pStyle w:val="TOC1"/>
        <w:tabs>
          <w:tab w:val="left" w:pos="1474"/>
        </w:tabs>
        <w:spacing w:before="0" w:after="240"/>
        <w:rPr>
          <w:b w:val="0"/>
          <w:bCs/>
        </w:rPr>
      </w:pPr>
      <w:r>
        <w:rPr>
          <w:b w:val="0"/>
          <w:bCs/>
        </w:rPr>
        <w:t>Click on the section that you are interested in.</w:t>
      </w:r>
    </w:p>
    <w:p w14:paraId="6639D11B" w14:textId="77777777" w:rsidR="004A1F36" w:rsidRPr="008F6229" w:rsidRDefault="00D43DC8">
      <w:pPr>
        <w:pStyle w:val="TOC1"/>
        <w:tabs>
          <w:tab w:val="left" w:pos="1474"/>
        </w:tabs>
        <w:rPr>
          <w:rFonts w:ascii="Calibri" w:hAnsi="Calibri"/>
          <w:b w:val="0"/>
          <w:noProof/>
          <w:sz w:val="22"/>
          <w:szCs w:val="22"/>
          <w:lang w:val="en-US"/>
        </w:rPr>
      </w:pPr>
      <w:r>
        <w:fldChar w:fldCharType="begin"/>
      </w:r>
      <w:r>
        <w:instrText xml:space="preserve"> TOC \h \z \t "Heading 1,1,Indent 1,2" </w:instrText>
      </w:r>
      <w:r>
        <w:fldChar w:fldCharType="separate"/>
      </w:r>
      <w:hyperlink w:anchor="_Toc477170868" w:history="1">
        <w:r w:rsidR="004A1F36" w:rsidRPr="00233633">
          <w:rPr>
            <w:rStyle w:val="Hyperlink"/>
            <w:noProof/>
          </w:rPr>
          <w:t>1</w:t>
        </w:r>
        <w:r w:rsidR="004A1F36" w:rsidRPr="008F6229">
          <w:rPr>
            <w:rFonts w:ascii="Calibri" w:hAnsi="Calibri"/>
            <w:b w:val="0"/>
            <w:noProof/>
            <w:sz w:val="22"/>
            <w:szCs w:val="22"/>
            <w:lang w:val="en-US"/>
          </w:rPr>
          <w:tab/>
        </w:r>
        <w:r w:rsidR="004A1F36" w:rsidRPr="00233633">
          <w:rPr>
            <w:rStyle w:val="Hyperlink"/>
            <w:noProof/>
          </w:rPr>
          <w:t>About the Ethernet MAN section</w:t>
        </w:r>
        <w:r w:rsidR="004A1F36">
          <w:rPr>
            <w:noProof/>
            <w:webHidden/>
          </w:rPr>
          <w:tab/>
        </w:r>
        <w:r w:rsidR="004A1F36">
          <w:rPr>
            <w:noProof/>
            <w:webHidden/>
          </w:rPr>
          <w:fldChar w:fldCharType="begin"/>
        </w:r>
        <w:r w:rsidR="004A1F36">
          <w:rPr>
            <w:noProof/>
            <w:webHidden/>
          </w:rPr>
          <w:instrText xml:space="preserve"> PAGEREF _Toc477170868 \h </w:instrText>
        </w:r>
        <w:r w:rsidR="004A1F36">
          <w:rPr>
            <w:noProof/>
            <w:webHidden/>
          </w:rPr>
        </w:r>
        <w:r w:rsidR="004A1F36">
          <w:rPr>
            <w:noProof/>
            <w:webHidden/>
          </w:rPr>
          <w:fldChar w:fldCharType="separate"/>
        </w:r>
        <w:r w:rsidR="00EB0FC0">
          <w:rPr>
            <w:noProof/>
            <w:webHidden/>
          </w:rPr>
          <w:t>3</w:t>
        </w:r>
        <w:r w:rsidR="004A1F36">
          <w:rPr>
            <w:noProof/>
            <w:webHidden/>
          </w:rPr>
          <w:fldChar w:fldCharType="end"/>
        </w:r>
      </w:hyperlink>
    </w:p>
    <w:p w14:paraId="5317E05C" w14:textId="77777777" w:rsidR="004A1F36" w:rsidRPr="008F6229" w:rsidRDefault="004A1F36">
      <w:pPr>
        <w:pStyle w:val="TOC2"/>
        <w:rPr>
          <w:rFonts w:ascii="Calibri" w:hAnsi="Calibri"/>
          <w:noProof/>
          <w:sz w:val="22"/>
          <w:szCs w:val="22"/>
          <w:lang w:val="en-US"/>
        </w:rPr>
      </w:pPr>
      <w:hyperlink w:anchor="_Toc477170869" w:history="1">
        <w:r w:rsidRPr="00233633">
          <w:rPr>
            <w:rStyle w:val="Hyperlink"/>
            <w:noProof/>
          </w:rPr>
          <w:t>Our Customer Terms</w:t>
        </w:r>
        <w:r>
          <w:rPr>
            <w:noProof/>
            <w:webHidden/>
          </w:rPr>
          <w:tab/>
        </w:r>
        <w:r>
          <w:rPr>
            <w:noProof/>
            <w:webHidden/>
          </w:rPr>
          <w:fldChar w:fldCharType="begin"/>
        </w:r>
        <w:r>
          <w:rPr>
            <w:noProof/>
            <w:webHidden/>
          </w:rPr>
          <w:instrText xml:space="preserve"> PAGEREF _Toc477170869 \h </w:instrText>
        </w:r>
        <w:r>
          <w:rPr>
            <w:noProof/>
            <w:webHidden/>
          </w:rPr>
        </w:r>
        <w:r>
          <w:rPr>
            <w:noProof/>
            <w:webHidden/>
          </w:rPr>
          <w:fldChar w:fldCharType="separate"/>
        </w:r>
        <w:r w:rsidR="00EB0FC0">
          <w:rPr>
            <w:noProof/>
            <w:webHidden/>
          </w:rPr>
          <w:t>3</w:t>
        </w:r>
        <w:r>
          <w:rPr>
            <w:noProof/>
            <w:webHidden/>
          </w:rPr>
          <w:fldChar w:fldCharType="end"/>
        </w:r>
      </w:hyperlink>
    </w:p>
    <w:p w14:paraId="5607044F" w14:textId="77777777" w:rsidR="004A1F36" w:rsidRPr="008F6229" w:rsidRDefault="004A1F36">
      <w:pPr>
        <w:pStyle w:val="TOC2"/>
        <w:rPr>
          <w:rFonts w:ascii="Calibri" w:hAnsi="Calibri"/>
          <w:noProof/>
          <w:sz w:val="22"/>
          <w:szCs w:val="22"/>
          <w:lang w:val="en-US"/>
        </w:rPr>
      </w:pPr>
      <w:hyperlink w:anchor="_Toc477170870" w:history="1">
        <w:r w:rsidRPr="00233633">
          <w:rPr>
            <w:rStyle w:val="Hyperlink"/>
            <w:noProof/>
          </w:rPr>
          <w:t>Inconsistencies</w:t>
        </w:r>
        <w:r>
          <w:rPr>
            <w:noProof/>
            <w:webHidden/>
          </w:rPr>
          <w:tab/>
        </w:r>
        <w:r>
          <w:rPr>
            <w:noProof/>
            <w:webHidden/>
          </w:rPr>
          <w:fldChar w:fldCharType="begin"/>
        </w:r>
        <w:r>
          <w:rPr>
            <w:noProof/>
            <w:webHidden/>
          </w:rPr>
          <w:instrText xml:space="preserve"> PAGEREF _Toc477170870 \h </w:instrText>
        </w:r>
        <w:r>
          <w:rPr>
            <w:noProof/>
            <w:webHidden/>
          </w:rPr>
        </w:r>
        <w:r>
          <w:rPr>
            <w:noProof/>
            <w:webHidden/>
          </w:rPr>
          <w:fldChar w:fldCharType="separate"/>
        </w:r>
        <w:r w:rsidR="00EB0FC0">
          <w:rPr>
            <w:noProof/>
            <w:webHidden/>
          </w:rPr>
          <w:t>3</w:t>
        </w:r>
        <w:r>
          <w:rPr>
            <w:noProof/>
            <w:webHidden/>
          </w:rPr>
          <w:fldChar w:fldCharType="end"/>
        </w:r>
      </w:hyperlink>
    </w:p>
    <w:p w14:paraId="663D3133" w14:textId="77777777" w:rsidR="004A1F36" w:rsidRPr="008F6229" w:rsidRDefault="004A1F36">
      <w:pPr>
        <w:pStyle w:val="TOC2"/>
        <w:rPr>
          <w:rFonts w:ascii="Calibri" w:hAnsi="Calibri"/>
          <w:noProof/>
          <w:sz w:val="22"/>
          <w:szCs w:val="22"/>
          <w:lang w:val="en-US"/>
        </w:rPr>
      </w:pPr>
      <w:hyperlink w:anchor="_Toc477170871" w:history="1">
        <w:r w:rsidRPr="00233633">
          <w:rPr>
            <w:rStyle w:val="Hyperlink"/>
            <w:noProof/>
          </w:rPr>
          <w:t>When this section applies</w:t>
        </w:r>
        <w:r>
          <w:rPr>
            <w:noProof/>
            <w:webHidden/>
          </w:rPr>
          <w:tab/>
        </w:r>
        <w:r>
          <w:rPr>
            <w:noProof/>
            <w:webHidden/>
          </w:rPr>
          <w:fldChar w:fldCharType="begin"/>
        </w:r>
        <w:r>
          <w:rPr>
            <w:noProof/>
            <w:webHidden/>
          </w:rPr>
          <w:instrText xml:space="preserve"> PAGEREF _Toc477170871 \h </w:instrText>
        </w:r>
        <w:r>
          <w:rPr>
            <w:noProof/>
            <w:webHidden/>
          </w:rPr>
        </w:r>
        <w:r>
          <w:rPr>
            <w:noProof/>
            <w:webHidden/>
          </w:rPr>
          <w:fldChar w:fldCharType="separate"/>
        </w:r>
        <w:r w:rsidR="00EB0FC0">
          <w:rPr>
            <w:noProof/>
            <w:webHidden/>
          </w:rPr>
          <w:t>3</w:t>
        </w:r>
        <w:r>
          <w:rPr>
            <w:noProof/>
            <w:webHidden/>
          </w:rPr>
          <w:fldChar w:fldCharType="end"/>
        </w:r>
      </w:hyperlink>
    </w:p>
    <w:p w14:paraId="54955DF3" w14:textId="77777777" w:rsidR="004A1F36" w:rsidRPr="008F6229" w:rsidRDefault="004A1F36">
      <w:pPr>
        <w:pStyle w:val="TOC1"/>
        <w:tabs>
          <w:tab w:val="left" w:pos="1474"/>
        </w:tabs>
        <w:rPr>
          <w:rFonts w:ascii="Calibri" w:hAnsi="Calibri"/>
          <w:b w:val="0"/>
          <w:noProof/>
          <w:sz w:val="22"/>
          <w:szCs w:val="22"/>
          <w:lang w:val="en-US"/>
        </w:rPr>
      </w:pPr>
      <w:hyperlink w:anchor="_Toc477170872" w:history="1">
        <w:r w:rsidRPr="00233633">
          <w:rPr>
            <w:rStyle w:val="Hyperlink"/>
            <w:noProof/>
          </w:rPr>
          <w:t>2</w:t>
        </w:r>
        <w:r w:rsidRPr="008F6229">
          <w:rPr>
            <w:rFonts w:ascii="Calibri" w:hAnsi="Calibri"/>
            <w:b w:val="0"/>
            <w:noProof/>
            <w:sz w:val="22"/>
            <w:szCs w:val="22"/>
            <w:lang w:val="en-US"/>
          </w:rPr>
          <w:tab/>
        </w:r>
        <w:r w:rsidRPr="00233633">
          <w:rPr>
            <w:rStyle w:val="Hyperlink"/>
            <w:noProof/>
          </w:rPr>
          <w:t>The Ethernet MAN service</w:t>
        </w:r>
        <w:r>
          <w:rPr>
            <w:noProof/>
            <w:webHidden/>
          </w:rPr>
          <w:tab/>
        </w:r>
        <w:r>
          <w:rPr>
            <w:noProof/>
            <w:webHidden/>
          </w:rPr>
          <w:fldChar w:fldCharType="begin"/>
        </w:r>
        <w:r>
          <w:rPr>
            <w:noProof/>
            <w:webHidden/>
          </w:rPr>
          <w:instrText xml:space="preserve"> PAGEREF _Toc477170872 \h </w:instrText>
        </w:r>
        <w:r>
          <w:rPr>
            <w:noProof/>
            <w:webHidden/>
          </w:rPr>
        </w:r>
        <w:r>
          <w:rPr>
            <w:noProof/>
            <w:webHidden/>
          </w:rPr>
          <w:fldChar w:fldCharType="separate"/>
        </w:r>
        <w:r w:rsidR="00EB0FC0">
          <w:rPr>
            <w:noProof/>
            <w:webHidden/>
          </w:rPr>
          <w:t>3</w:t>
        </w:r>
        <w:r>
          <w:rPr>
            <w:noProof/>
            <w:webHidden/>
          </w:rPr>
          <w:fldChar w:fldCharType="end"/>
        </w:r>
      </w:hyperlink>
    </w:p>
    <w:p w14:paraId="014206C0" w14:textId="77777777" w:rsidR="004A1F36" w:rsidRPr="008F6229" w:rsidRDefault="004A1F36">
      <w:pPr>
        <w:pStyle w:val="TOC2"/>
        <w:rPr>
          <w:rFonts w:ascii="Calibri" w:hAnsi="Calibri"/>
          <w:noProof/>
          <w:sz w:val="22"/>
          <w:szCs w:val="22"/>
          <w:lang w:val="en-US"/>
        </w:rPr>
      </w:pPr>
      <w:hyperlink w:anchor="_Toc477170873" w:history="1">
        <w:r w:rsidRPr="00233633">
          <w:rPr>
            <w:rStyle w:val="Hyperlink"/>
            <w:noProof/>
          </w:rPr>
          <w:t>What is Ethernet MAN?</w:t>
        </w:r>
        <w:r>
          <w:rPr>
            <w:noProof/>
            <w:webHidden/>
          </w:rPr>
          <w:tab/>
        </w:r>
        <w:r>
          <w:rPr>
            <w:noProof/>
            <w:webHidden/>
          </w:rPr>
          <w:fldChar w:fldCharType="begin"/>
        </w:r>
        <w:r>
          <w:rPr>
            <w:noProof/>
            <w:webHidden/>
          </w:rPr>
          <w:instrText xml:space="preserve"> PAGEREF _Toc477170873 \h </w:instrText>
        </w:r>
        <w:r>
          <w:rPr>
            <w:noProof/>
            <w:webHidden/>
          </w:rPr>
        </w:r>
        <w:r>
          <w:rPr>
            <w:noProof/>
            <w:webHidden/>
          </w:rPr>
          <w:fldChar w:fldCharType="separate"/>
        </w:r>
        <w:r w:rsidR="00EB0FC0">
          <w:rPr>
            <w:noProof/>
            <w:webHidden/>
          </w:rPr>
          <w:t>3</w:t>
        </w:r>
        <w:r>
          <w:rPr>
            <w:noProof/>
            <w:webHidden/>
          </w:rPr>
          <w:fldChar w:fldCharType="end"/>
        </w:r>
      </w:hyperlink>
    </w:p>
    <w:p w14:paraId="5D09B490" w14:textId="77777777" w:rsidR="004A1F36" w:rsidRPr="008F6229" w:rsidRDefault="004A1F36">
      <w:pPr>
        <w:pStyle w:val="TOC2"/>
        <w:rPr>
          <w:rFonts w:ascii="Calibri" w:hAnsi="Calibri"/>
          <w:noProof/>
          <w:sz w:val="22"/>
          <w:szCs w:val="22"/>
          <w:lang w:val="en-US"/>
        </w:rPr>
      </w:pPr>
      <w:hyperlink w:anchor="_Toc477170874" w:history="1">
        <w:r w:rsidRPr="00233633">
          <w:rPr>
            <w:rStyle w:val="Hyperlink"/>
            <w:noProof/>
          </w:rPr>
          <w:t>Service features</w:t>
        </w:r>
        <w:r>
          <w:rPr>
            <w:noProof/>
            <w:webHidden/>
          </w:rPr>
          <w:tab/>
        </w:r>
        <w:r>
          <w:rPr>
            <w:noProof/>
            <w:webHidden/>
          </w:rPr>
          <w:fldChar w:fldCharType="begin"/>
        </w:r>
        <w:r>
          <w:rPr>
            <w:noProof/>
            <w:webHidden/>
          </w:rPr>
          <w:instrText xml:space="preserve"> PAGEREF _Toc477170874 \h </w:instrText>
        </w:r>
        <w:r>
          <w:rPr>
            <w:noProof/>
            <w:webHidden/>
          </w:rPr>
        </w:r>
        <w:r>
          <w:rPr>
            <w:noProof/>
            <w:webHidden/>
          </w:rPr>
          <w:fldChar w:fldCharType="separate"/>
        </w:r>
        <w:r w:rsidR="00EB0FC0">
          <w:rPr>
            <w:noProof/>
            <w:webHidden/>
          </w:rPr>
          <w:t>4</w:t>
        </w:r>
        <w:r>
          <w:rPr>
            <w:noProof/>
            <w:webHidden/>
          </w:rPr>
          <w:fldChar w:fldCharType="end"/>
        </w:r>
      </w:hyperlink>
    </w:p>
    <w:p w14:paraId="5860D6B9" w14:textId="77777777" w:rsidR="004A1F36" w:rsidRPr="008F6229" w:rsidRDefault="004A1F36">
      <w:pPr>
        <w:pStyle w:val="TOC2"/>
        <w:rPr>
          <w:rFonts w:ascii="Calibri" w:hAnsi="Calibri"/>
          <w:noProof/>
          <w:sz w:val="22"/>
          <w:szCs w:val="22"/>
          <w:lang w:val="en-US"/>
        </w:rPr>
      </w:pPr>
      <w:hyperlink w:anchor="_Toc477170875" w:history="1">
        <w:r w:rsidRPr="00233633">
          <w:rPr>
            <w:rStyle w:val="Hyperlink"/>
            <w:noProof/>
          </w:rPr>
          <w:t>Availability</w:t>
        </w:r>
        <w:r>
          <w:rPr>
            <w:noProof/>
            <w:webHidden/>
          </w:rPr>
          <w:tab/>
        </w:r>
        <w:r>
          <w:rPr>
            <w:noProof/>
            <w:webHidden/>
          </w:rPr>
          <w:fldChar w:fldCharType="begin"/>
        </w:r>
        <w:r>
          <w:rPr>
            <w:noProof/>
            <w:webHidden/>
          </w:rPr>
          <w:instrText xml:space="preserve"> PAGEREF _Toc477170875 \h </w:instrText>
        </w:r>
        <w:r>
          <w:rPr>
            <w:noProof/>
            <w:webHidden/>
          </w:rPr>
        </w:r>
        <w:r>
          <w:rPr>
            <w:noProof/>
            <w:webHidden/>
          </w:rPr>
          <w:fldChar w:fldCharType="separate"/>
        </w:r>
        <w:r w:rsidR="00EB0FC0">
          <w:rPr>
            <w:noProof/>
            <w:webHidden/>
          </w:rPr>
          <w:t>5</w:t>
        </w:r>
        <w:r>
          <w:rPr>
            <w:noProof/>
            <w:webHidden/>
          </w:rPr>
          <w:fldChar w:fldCharType="end"/>
        </w:r>
      </w:hyperlink>
    </w:p>
    <w:p w14:paraId="161A576B" w14:textId="77777777" w:rsidR="004A1F36" w:rsidRPr="008F6229" w:rsidRDefault="004A1F36">
      <w:pPr>
        <w:pStyle w:val="TOC2"/>
        <w:rPr>
          <w:rFonts w:ascii="Calibri" w:hAnsi="Calibri"/>
          <w:noProof/>
          <w:sz w:val="22"/>
          <w:szCs w:val="22"/>
          <w:lang w:val="en-US"/>
        </w:rPr>
      </w:pPr>
      <w:hyperlink w:anchor="_Toc477170876" w:history="1">
        <w:r w:rsidRPr="00233633">
          <w:rPr>
            <w:rStyle w:val="Hyperlink"/>
            <w:noProof/>
          </w:rPr>
          <w:t>Minimum term</w:t>
        </w:r>
        <w:r>
          <w:rPr>
            <w:noProof/>
            <w:webHidden/>
          </w:rPr>
          <w:tab/>
        </w:r>
        <w:r>
          <w:rPr>
            <w:noProof/>
            <w:webHidden/>
          </w:rPr>
          <w:fldChar w:fldCharType="begin"/>
        </w:r>
        <w:r>
          <w:rPr>
            <w:noProof/>
            <w:webHidden/>
          </w:rPr>
          <w:instrText xml:space="preserve"> PAGEREF _Toc477170876 \h </w:instrText>
        </w:r>
        <w:r>
          <w:rPr>
            <w:noProof/>
            <w:webHidden/>
          </w:rPr>
        </w:r>
        <w:r>
          <w:rPr>
            <w:noProof/>
            <w:webHidden/>
          </w:rPr>
          <w:fldChar w:fldCharType="separate"/>
        </w:r>
        <w:r w:rsidR="00EB0FC0">
          <w:rPr>
            <w:noProof/>
            <w:webHidden/>
          </w:rPr>
          <w:t>5</w:t>
        </w:r>
        <w:r>
          <w:rPr>
            <w:noProof/>
            <w:webHidden/>
          </w:rPr>
          <w:fldChar w:fldCharType="end"/>
        </w:r>
      </w:hyperlink>
    </w:p>
    <w:p w14:paraId="0B98600B" w14:textId="77777777" w:rsidR="004A1F36" w:rsidRPr="008F6229" w:rsidRDefault="004A1F36">
      <w:pPr>
        <w:pStyle w:val="TOC2"/>
        <w:rPr>
          <w:rFonts w:ascii="Calibri" w:hAnsi="Calibri"/>
          <w:noProof/>
          <w:sz w:val="22"/>
          <w:szCs w:val="22"/>
          <w:lang w:val="en-US"/>
        </w:rPr>
      </w:pPr>
      <w:hyperlink w:anchor="_Toc477170877" w:history="1">
        <w:r w:rsidRPr="00233633">
          <w:rPr>
            <w:rStyle w:val="Hyperlink"/>
            <w:noProof/>
          </w:rPr>
          <w:t>Cancelling your service</w:t>
        </w:r>
        <w:r>
          <w:rPr>
            <w:noProof/>
            <w:webHidden/>
          </w:rPr>
          <w:tab/>
        </w:r>
        <w:r>
          <w:rPr>
            <w:noProof/>
            <w:webHidden/>
          </w:rPr>
          <w:fldChar w:fldCharType="begin"/>
        </w:r>
        <w:r>
          <w:rPr>
            <w:noProof/>
            <w:webHidden/>
          </w:rPr>
          <w:instrText xml:space="preserve"> PAGEREF _Toc477170877 \h </w:instrText>
        </w:r>
        <w:r>
          <w:rPr>
            <w:noProof/>
            <w:webHidden/>
          </w:rPr>
        </w:r>
        <w:r>
          <w:rPr>
            <w:noProof/>
            <w:webHidden/>
          </w:rPr>
          <w:fldChar w:fldCharType="separate"/>
        </w:r>
        <w:r w:rsidR="00EB0FC0">
          <w:rPr>
            <w:noProof/>
            <w:webHidden/>
          </w:rPr>
          <w:t>5</w:t>
        </w:r>
        <w:r>
          <w:rPr>
            <w:noProof/>
            <w:webHidden/>
          </w:rPr>
          <w:fldChar w:fldCharType="end"/>
        </w:r>
      </w:hyperlink>
    </w:p>
    <w:p w14:paraId="6FA93400" w14:textId="77777777" w:rsidR="004A1F36" w:rsidRPr="008F6229" w:rsidRDefault="004A1F36">
      <w:pPr>
        <w:pStyle w:val="TOC2"/>
        <w:rPr>
          <w:rFonts w:ascii="Calibri" w:hAnsi="Calibri"/>
          <w:noProof/>
          <w:sz w:val="22"/>
          <w:szCs w:val="22"/>
          <w:lang w:val="en-US"/>
        </w:rPr>
      </w:pPr>
      <w:hyperlink w:anchor="_Toc477170878" w:history="1">
        <w:r w:rsidRPr="00233633">
          <w:rPr>
            <w:rStyle w:val="Hyperlink"/>
            <w:noProof/>
          </w:rPr>
          <w:t>Ports</w:t>
        </w:r>
        <w:r>
          <w:rPr>
            <w:noProof/>
            <w:webHidden/>
          </w:rPr>
          <w:tab/>
        </w:r>
        <w:r>
          <w:rPr>
            <w:noProof/>
            <w:webHidden/>
          </w:rPr>
          <w:fldChar w:fldCharType="begin"/>
        </w:r>
        <w:r>
          <w:rPr>
            <w:noProof/>
            <w:webHidden/>
          </w:rPr>
          <w:instrText xml:space="preserve"> PAGEREF _Toc477170878 \h </w:instrText>
        </w:r>
        <w:r>
          <w:rPr>
            <w:noProof/>
            <w:webHidden/>
          </w:rPr>
        </w:r>
        <w:r>
          <w:rPr>
            <w:noProof/>
            <w:webHidden/>
          </w:rPr>
          <w:fldChar w:fldCharType="separate"/>
        </w:r>
        <w:r w:rsidR="00EB0FC0">
          <w:rPr>
            <w:noProof/>
            <w:webHidden/>
          </w:rPr>
          <w:t>6</w:t>
        </w:r>
        <w:r>
          <w:rPr>
            <w:noProof/>
            <w:webHidden/>
          </w:rPr>
          <w:fldChar w:fldCharType="end"/>
        </w:r>
      </w:hyperlink>
    </w:p>
    <w:p w14:paraId="493CD212" w14:textId="77777777" w:rsidR="004A1F36" w:rsidRPr="008F6229" w:rsidRDefault="004A1F36">
      <w:pPr>
        <w:pStyle w:val="TOC2"/>
        <w:rPr>
          <w:rFonts w:ascii="Calibri" w:hAnsi="Calibri"/>
          <w:noProof/>
          <w:sz w:val="22"/>
          <w:szCs w:val="22"/>
          <w:lang w:val="en-US"/>
        </w:rPr>
      </w:pPr>
      <w:hyperlink w:anchor="_Toc477170879" w:history="1">
        <w:r w:rsidRPr="00233633">
          <w:rPr>
            <w:rStyle w:val="Hyperlink"/>
            <w:noProof/>
          </w:rPr>
          <w:t>Link bandwidth</w:t>
        </w:r>
        <w:r>
          <w:rPr>
            <w:noProof/>
            <w:webHidden/>
          </w:rPr>
          <w:tab/>
        </w:r>
        <w:r>
          <w:rPr>
            <w:noProof/>
            <w:webHidden/>
          </w:rPr>
          <w:fldChar w:fldCharType="begin"/>
        </w:r>
        <w:r>
          <w:rPr>
            <w:noProof/>
            <w:webHidden/>
          </w:rPr>
          <w:instrText xml:space="preserve"> PAGEREF _Toc477170879 \h </w:instrText>
        </w:r>
        <w:r>
          <w:rPr>
            <w:noProof/>
            <w:webHidden/>
          </w:rPr>
        </w:r>
        <w:r>
          <w:rPr>
            <w:noProof/>
            <w:webHidden/>
          </w:rPr>
          <w:fldChar w:fldCharType="separate"/>
        </w:r>
        <w:r w:rsidR="00EB0FC0">
          <w:rPr>
            <w:noProof/>
            <w:webHidden/>
          </w:rPr>
          <w:t>6</w:t>
        </w:r>
        <w:r>
          <w:rPr>
            <w:noProof/>
            <w:webHidden/>
          </w:rPr>
          <w:fldChar w:fldCharType="end"/>
        </w:r>
      </w:hyperlink>
    </w:p>
    <w:p w14:paraId="3D53CFEF" w14:textId="77777777" w:rsidR="004A1F36" w:rsidRPr="008F6229" w:rsidRDefault="004A1F36">
      <w:pPr>
        <w:pStyle w:val="TOC1"/>
        <w:tabs>
          <w:tab w:val="left" w:pos="1474"/>
        </w:tabs>
        <w:rPr>
          <w:rFonts w:ascii="Calibri" w:hAnsi="Calibri"/>
          <w:b w:val="0"/>
          <w:noProof/>
          <w:sz w:val="22"/>
          <w:szCs w:val="22"/>
          <w:lang w:val="en-US"/>
        </w:rPr>
      </w:pPr>
      <w:hyperlink w:anchor="_Toc477170880" w:history="1">
        <w:r w:rsidRPr="00233633">
          <w:rPr>
            <w:rStyle w:val="Hyperlink"/>
            <w:noProof/>
          </w:rPr>
          <w:t>3</w:t>
        </w:r>
        <w:r w:rsidRPr="008F6229">
          <w:rPr>
            <w:rFonts w:ascii="Calibri" w:hAnsi="Calibri"/>
            <w:b w:val="0"/>
            <w:noProof/>
            <w:sz w:val="22"/>
            <w:szCs w:val="22"/>
            <w:lang w:val="en-US"/>
          </w:rPr>
          <w:tab/>
        </w:r>
        <w:r w:rsidRPr="00233633">
          <w:rPr>
            <w:rStyle w:val="Hyperlink"/>
            <w:noProof/>
          </w:rPr>
          <w:t>Connecting an Ethernet MAN service</w:t>
        </w:r>
        <w:r>
          <w:rPr>
            <w:noProof/>
            <w:webHidden/>
          </w:rPr>
          <w:tab/>
        </w:r>
        <w:r>
          <w:rPr>
            <w:noProof/>
            <w:webHidden/>
          </w:rPr>
          <w:fldChar w:fldCharType="begin"/>
        </w:r>
        <w:r>
          <w:rPr>
            <w:noProof/>
            <w:webHidden/>
          </w:rPr>
          <w:instrText xml:space="preserve"> PAGEREF _Toc477170880 \h </w:instrText>
        </w:r>
        <w:r>
          <w:rPr>
            <w:noProof/>
            <w:webHidden/>
          </w:rPr>
        </w:r>
        <w:r>
          <w:rPr>
            <w:noProof/>
            <w:webHidden/>
          </w:rPr>
          <w:fldChar w:fldCharType="separate"/>
        </w:r>
        <w:r w:rsidR="00EB0FC0">
          <w:rPr>
            <w:noProof/>
            <w:webHidden/>
          </w:rPr>
          <w:t>7</w:t>
        </w:r>
        <w:r>
          <w:rPr>
            <w:noProof/>
            <w:webHidden/>
          </w:rPr>
          <w:fldChar w:fldCharType="end"/>
        </w:r>
      </w:hyperlink>
    </w:p>
    <w:p w14:paraId="535CE408" w14:textId="77777777" w:rsidR="004A1F36" w:rsidRPr="008F6229" w:rsidRDefault="004A1F36">
      <w:pPr>
        <w:pStyle w:val="TOC2"/>
        <w:rPr>
          <w:rFonts w:ascii="Calibri" w:hAnsi="Calibri"/>
          <w:noProof/>
          <w:sz w:val="22"/>
          <w:szCs w:val="22"/>
          <w:lang w:val="en-US"/>
        </w:rPr>
      </w:pPr>
      <w:hyperlink w:anchor="_Toc477170881" w:history="1">
        <w:r w:rsidRPr="00233633">
          <w:rPr>
            <w:rStyle w:val="Hyperlink"/>
            <w:noProof/>
          </w:rPr>
          <w:t>Provisioning times</w:t>
        </w:r>
        <w:r>
          <w:rPr>
            <w:noProof/>
            <w:webHidden/>
          </w:rPr>
          <w:tab/>
        </w:r>
        <w:r>
          <w:rPr>
            <w:noProof/>
            <w:webHidden/>
          </w:rPr>
          <w:fldChar w:fldCharType="begin"/>
        </w:r>
        <w:r>
          <w:rPr>
            <w:noProof/>
            <w:webHidden/>
          </w:rPr>
          <w:instrText xml:space="preserve"> PAGEREF _Toc477170881 \h </w:instrText>
        </w:r>
        <w:r>
          <w:rPr>
            <w:noProof/>
            <w:webHidden/>
          </w:rPr>
        </w:r>
        <w:r>
          <w:rPr>
            <w:noProof/>
            <w:webHidden/>
          </w:rPr>
          <w:fldChar w:fldCharType="separate"/>
        </w:r>
        <w:r w:rsidR="00EB0FC0">
          <w:rPr>
            <w:noProof/>
            <w:webHidden/>
          </w:rPr>
          <w:t>7</w:t>
        </w:r>
        <w:r>
          <w:rPr>
            <w:noProof/>
            <w:webHidden/>
          </w:rPr>
          <w:fldChar w:fldCharType="end"/>
        </w:r>
      </w:hyperlink>
    </w:p>
    <w:p w14:paraId="2DA4E970" w14:textId="77777777" w:rsidR="004A1F36" w:rsidRPr="008F6229" w:rsidRDefault="004A1F36">
      <w:pPr>
        <w:pStyle w:val="TOC2"/>
        <w:rPr>
          <w:rFonts w:ascii="Calibri" w:hAnsi="Calibri"/>
          <w:noProof/>
          <w:sz w:val="22"/>
          <w:szCs w:val="22"/>
          <w:lang w:val="en-US"/>
        </w:rPr>
      </w:pPr>
      <w:hyperlink w:anchor="_Toc477170882" w:history="1">
        <w:r w:rsidRPr="00233633">
          <w:rPr>
            <w:rStyle w:val="Hyperlink"/>
            <w:noProof/>
          </w:rPr>
          <w:t>Cabling and data terminal equipment</w:t>
        </w:r>
        <w:r>
          <w:rPr>
            <w:noProof/>
            <w:webHidden/>
          </w:rPr>
          <w:tab/>
        </w:r>
        <w:r>
          <w:rPr>
            <w:noProof/>
            <w:webHidden/>
          </w:rPr>
          <w:fldChar w:fldCharType="begin"/>
        </w:r>
        <w:r>
          <w:rPr>
            <w:noProof/>
            <w:webHidden/>
          </w:rPr>
          <w:instrText xml:space="preserve"> PAGEREF _Toc477170882 \h </w:instrText>
        </w:r>
        <w:r>
          <w:rPr>
            <w:noProof/>
            <w:webHidden/>
          </w:rPr>
        </w:r>
        <w:r>
          <w:rPr>
            <w:noProof/>
            <w:webHidden/>
          </w:rPr>
          <w:fldChar w:fldCharType="separate"/>
        </w:r>
        <w:r w:rsidR="00EB0FC0">
          <w:rPr>
            <w:noProof/>
            <w:webHidden/>
          </w:rPr>
          <w:t>8</w:t>
        </w:r>
        <w:r>
          <w:rPr>
            <w:noProof/>
            <w:webHidden/>
          </w:rPr>
          <w:fldChar w:fldCharType="end"/>
        </w:r>
      </w:hyperlink>
    </w:p>
    <w:p w14:paraId="2A9C420F" w14:textId="77777777" w:rsidR="004A1F36" w:rsidRPr="008F6229" w:rsidRDefault="004A1F36">
      <w:pPr>
        <w:pStyle w:val="TOC2"/>
        <w:rPr>
          <w:rFonts w:ascii="Calibri" w:hAnsi="Calibri"/>
          <w:noProof/>
          <w:sz w:val="22"/>
          <w:szCs w:val="22"/>
          <w:lang w:val="en-US"/>
        </w:rPr>
      </w:pPr>
      <w:hyperlink w:anchor="_Toc477170883" w:history="1">
        <w:r w:rsidRPr="00233633">
          <w:rPr>
            <w:rStyle w:val="Hyperlink"/>
            <w:noProof/>
          </w:rPr>
          <w:t>Your liability to us</w:t>
        </w:r>
        <w:r>
          <w:rPr>
            <w:noProof/>
            <w:webHidden/>
          </w:rPr>
          <w:tab/>
        </w:r>
        <w:r>
          <w:rPr>
            <w:noProof/>
            <w:webHidden/>
          </w:rPr>
          <w:fldChar w:fldCharType="begin"/>
        </w:r>
        <w:r>
          <w:rPr>
            <w:noProof/>
            <w:webHidden/>
          </w:rPr>
          <w:instrText xml:space="preserve"> PAGEREF _Toc477170883 \h </w:instrText>
        </w:r>
        <w:r>
          <w:rPr>
            <w:noProof/>
            <w:webHidden/>
          </w:rPr>
        </w:r>
        <w:r>
          <w:rPr>
            <w:noProof/>
            <w:webHidden/>
          </w:rPr>
          <w:fldChar w:fldCharType="separate"/>
        </w:r>
        <w:r w:rsidR="00EB0FC0">
          <w:rPr>
            <w:noProof/>
            <w:webHidden/>
          </w:rPr>
          <w:t>8</w:t>
        </w:r>
        <w:r>
          <w:rPr>
            <w:noProof/>
            <w:webHidden/>
          </w:rPr>
          <w:fldChar w:fldCharType="end"/>
        </w:r>
      </w:hyperlink>
    </w:p>
    <w:p w14:paraId="479F0128" w14:textId="77777777" w:rsidR="004A1F36" w:rsidRPr="008F6229" w:rsidRDefault="004A1F36">
      <w:pPr>
        <w:pStyle w:val="TOC2"/>
        <w:rPr>
          <w:rFonts w:ascii="Calibri" w:hAnsi="Calibri"/>
          <w:noProof/>
          <w:sz w:val="22"/>
          <w:szCs w:val="22"/>
          <w:lang w:val="en-US"/>
        </w:rPr>
      </w:pPr>
      <w:hyperlink w:anchor="_Toc477170884" w:history="1">
        <w:r w:rsidRPr="00233633">
          <w:rPr>
            <w:rStyle w:val="Hyperlink"/>
            <w:noProof/>
          </w:rPr>
          <w:t>Connection charges – single uplink</w:t>
        </w:r>
        <w:r>
          <w:rPr>
            <w:noProof/>
            <w:webHidden/>
          </w:rPr>
          <w:tab/>
        </w:r>
        <w:r>
          <w:rPr>
            <w:noProof/>
            <w:webHidden/>
          </w:rPr>
          <w:fldChar w:fldCharType="begin"/>
        </w:r>
        <w:r>
          <w:rPr>
            <w:noProof/>
            <w:webHidden/>
          </w:rPr>
          <w:instrText xml:space="preserve"> PAGEREF _Toc477170884 \h </w:instrText>
        </w:r>
        <w:r>
          <w:rPr>
            <w:noProof/>
            <w:webHidden/>
          </w:rPr>
        </w:r>
        <w:r>
          <w:rPr>
            <w:noProof/>
            <w:webHidden/>
          </w:rPr>
          <w:fldChar w:fldCharType="separate"/>
        </w:r>
        <w:r w:rsidR="00EB0FC0">
          <w:rPr>
            <w:noProof/>
            <w:webHidden/>
          </w:rPr>
          <w:t>9</w:t>
        </w:r>
        <w:r>
          <w:rPr>
            <w:noProof/>
            <w:webHidden/>
          </w:rPr>
          <w:fldChar w:fldCharType="end"/>
        </w:r>
      </w:hyperlink>
    </w:p>
    <w:p w14:paraId="39FC2EDA" w14:textId="77777777" w:rsidR="004A1F36" w:rsidRPr="008F6229" w:rsidRDefault="004A1F36">
      <w:pPr>
        <w:pStyle w:val="TOC2"/>
        <w:rPr>
          <w:rFonts w:ascii="Calibri" w:hAnsi="Calibri"/>
          <w:noProof/>
          <w:sz w:val="22"/>
          <w:szCs w:val="22"/>
          <w:lang w:val="en-US"/>
        </w:rPr>
      </w:pPr>
      <w:hyperlink w:anchor="_Toc477170885" w:history="1">
        <w:r w:rsidRPr="00233633">
          <w:rPr>
            <w:rStyle w:val="Hyperlink"/>
            <w:noProof/>
          </w:rPr>
          <w:t>Connection charges – dual uplink and fully redundant connection</w:t>
        </w:r>
        <w:r>
          <w:rPr>
            <w:noProof/>
            <w:webHidden/>
          </w:rPr>
          <w:tab/>
        </w:r>
        <w:r>
          <w:rPr>
            <w:noProof/>
            <w:webHidden/>
          </w:rPr>
          <w:fldChar w:fldCharType="begin"/>
        </w:r>
        <w:r>
          <w:rPr>
            <w:noProof/>
            <w:webHidden/>
          </w:rPr>
          <w:instrText xml:space="preserve"> PAGEREF _Toc477170885 \h </w:instrText>
        </w:r>
        <w:r>
          <w:rPr>
            <w:noProof/>
            <w:webHidden/>
          </w:rPr>
        </w:r>
        <w:r>
          <w:rPr>
            <w:noProof/>
            <w:webHidden/>
          </w:rPr>
          <w:fldChar w:fldCharType="separate"/>
        </w:r>
        <w:r w:rsidR="00EB0FC0">
          <w:rPr>
            <w:noProof/>
            <w:webHidden/>
          </w:rPr>
          <w:t>9</w:t>
        </w:r>
        <w:r>
          <w:rPr>
            <w:noProof/>
            <w:webHidden/>
          </w:rPr>
          <w:fldChar w:fldCharType="end"/>
        </w:r>
      </w:hyperlink>
    </w:p>
    <w:p w14:paraId="1A9E3A70" w14:textId="77777777" w:rsidR="004A1F36" w:rsidRPr="008F6229" w:rsidRDefault="004A1F36">
      <w:pPr>
        <w:pStyle w:val="TOC2"/>
        <w:rPr>
          <w:rFonts w:ascii="Calibri" w:hAnsi="Calibri"/>
          <w:noProof/>
          <w:sz w:val="22"/>
          <w:szCs w:val="22"/>
          <w:lang w:val="en-US"/>
        </w:rPr>
      </w:pPr>
      <w:hyperlink w:anchor="_Toc477170886" w:history="1">
        <w:r w:rsidRPr="00233633">
          <w:rPr>
            <w:rStyle w:val="Hyperlink"/>
            <w:noProof/>
          </w:rPr>
          <w:t>Cabling and NTU locations</w:t>
        </w:r>
        <w:r>
          <w:rPr>
            <w:noProof/>
            <w:webHidden/>
          </w:rPr>
          <w:tab/>
        </w:r>
        <w:r>
          <w:rPr>
            <w:noProof/>
            <w:webHidden/>
          </w:rPr>
          <w:fldChar w:fldCharType="begin"/>
        </w:r>
        <w:r>
          <w:rPr>
            <w:noProof/>
            <w:webHidden/>
          </w:rPr>
          <w:instrText xml:space="preserve"> PAGEREF _Toc477170886 \h </w:instrText>
        </w:r>
        <w:r>
          <w:rPr>
            <w:noProof/>
            <w:webHidden/>
          </w:rPr>
        </w:r>
        <w:r>
          <w:rPr>
            <w:noProof/>
            <w:webHidden/>
          </w:rPr>
          <w:fldChar w:fldCharType="separate"/>
        </w:r>
        <w:r w:rsidR="00EB0FC0">
          <w:rPr>
            <w:noProof/>
            <w:webHidden/>
          </w:rPr>
          <w:t>10</w:t>
        </w:r>
        <w:r>
          <w:rPr>
            <w:noProof/>
            <w:webHidden/>
          </w:rPr>
          <w:fldChar w:fldCharType="end"/>
        </w:r>
      </w:hyperlink>
    </w:p>
    <w:p w14:paraId="43349AFA" w14:textId="77777777" w:rsidR="004A1F36" w:rsidRPr="008F6229" w:rsidRDefault="004A1F36">
      <w:pPr>
        <w:pStyle w:val="TOC2"/>
        <w:rPr>
          <w:rFonts w:ascii="Calibri" w:hAnsi="Calibri"/>
          <w:noProof/>
          <w:sz w:val="22"/>
          <w:szCs w:val="22"/>
          <w:lang w:val="en-US"/>
        </w:rPr>
      </w:pPr>
      <w:hyperlink w:anchor="_Toc477170887" w:history="1">
        <w:r w:rsidRPr="00233633">
          <w:rPr>
            <w:rStyle w:val="Hyperlink"/>
            <w:noProof/>
          </w:rPr>
          <w:t>Network extension charges</w:t>
        </w:r>
        <w:r>
          <w:rPr>
            <w:noProof/>
            <w:webHidden/>
          </w:rPr>
          <w:tab/>
        </w:r>
        <w:r>
          <w:rPr>
            <w:noProof/>
            <w:webHidden/>
          </w:rPr>
          <w:fldChar w:fldCharType="begin"/>
        </w:r>
        <w:r>
          <w:rPr>
            <w:noProof/>
            <w:webHidden/>
          </w:rPr>
          <w:instrText xml:space="preserve"> PAGEREF _Toc477170887 \h </w:instrText>
        </w:r>
        <w:r>
          <w:rPr>
            <w:noProof/>
            <w:webHidden/>
          </w:rPr>
        </w:r>
        <w:r>
          <w:rPr>
            <w:noProof/>
            <w:webHidden/>
          </w:rPr>
          <w:fldChar w:fldCharType="separate"/>
        </w:r>
        <w:r w:rsidR="00EB0FC0">
          <w:rPr>
            <w:noProof/>
            <w:webHidden/>
          </w:rPr>
          <w:t>12</w:t>
        </w:r>
        <w:r>
          <w:rPr>
            <w:noProof/>
            <w:webHidden/>
          </w:rPr>
          <w:fldChar w:fldCharType="end"/>
        </w:r>
      </w:hyperlink>
    </w:p>
    <w:p w14:paraId="542A3CD0" w14:textId="77777777" w:rsidR="004A1F36" w:rsidRPr="008F6229" w:rsidRDefault="004A1F36">
      <w:pPr>
        <w:pStyle w:val="TOC2"/>
        <w:rPr>
          <w:rFonts w:ascii="Calibri" w:hAnsi="Calibri"/>
          <w:noProof/>
          <w:sz w:val="22"/>
          <w:szCs w:val="22"/>
          <w:lang w:val="en-US"/>
        </w:rPr>
      </w:pPr>
      <w:hyperlink w:anchor="_Toc477170888" w:history="1">
        <w:r w:rsidRPr="00233633">
          <w:rPr>
            <w:rStyle w:val="Hyperlink"/>
            <w:noProof/>
          </w:rPr>
          <w:t>Service extension charges</w:t>
        </w:r>
        <w:r>
          <w:rPr>
            <w:noProof/>
            <w:webHidden/>
          </w:rPr>
          <w:tab/>
        </w:r>
        <w:r>
          <w:rPr>
            <w:noProof/>
            <w:webHidden/>
          </w:rPr>
          <w:fldChar w:fldCharType="begin"/>
        </w:r>
        <w:r>
          <w:rPr>
            <w:noProof/>
            <w:webHidden/>
          </w:rPr>
          <w:instrText xml:space="preserve"> PAGEREF _Toc477170888 \h </w:instrText>
        </w:r>
        <w:r>
          <w:rPr>
            <w:noProof/>
            <w:webHidden/>
          </w:rPr>
        </w:r>
        <w:r>
          <w:rPr>
            <w:noProof/>
            <w:webHidden/>
          </w:rPr>
          <w:fldChar w:fldCharType="separate"/>
        </w:r>
        <w:r w:rsidR="00EB0FC0">
          <w:rPr>
            <w:noProof/>
            <w:webHidden/>
          </w:rPr>
          <w:t>12</w:t>
        </w:r>
        <w:r>
          <w:rPr>
            <w:noProof/>
            <w:webHidden/>
          </w:rPr>
          <w:fldChar w:fldCharType="end"/>
        </w:r>
      </w:hyperlink>
    </w:p>
    <w:p w14:paraId="736BE927" w14:textId="77777777" w:rsidR="004A1F36" w:rsidRPr="008F6229" w:rsidRDefault="004A1F36">
      <w:pPr>
        <w:pStyle w:val="TOC1"/>
        <w:tabs>
          <w:tab w:val="left" w:pos="1474"/>
        </w:tabs>
        <w:rPr>
          <w:rFonts w:ascii="Calibri" w:hAnsi="Calibri"/>
          <w:b w:val="0"/>
          <w:noProof/>
          <w:sz w:val="22"/>
          <w:szCs w:val="22"/>
          <w:lang w:val="en-US"/>
        </w:rPr>
      </w:pPr>
      <w:hyperlink w:anchor="_Toc477170889" w:history="1">
        <w:r w:rsidRPr="00233633">
          <w:rPr>
            <w:rStyle w:val="Hyperlink"/>
            <w:noProof/>
          </w:rPr>
          <w:t>4</w:t>
        </w:r>
        <w:r w:rsidRPr="008F6229">
          <w:rPr>
            <w:rFonts w:ascii="Calibri" w:hAnsi="Calibri"/>
            <w:b w:val="0"/>
            <w:noProof/>
            <w:sz w:val="22"/>
            <w:szCs w:val="22"/>
            <w:lang w:val="en-US"/>
          </w:rPr>
          <w:tab/>
        </w:r>
        <w:r w:rsidRPr="00233633">
          <w:rPr>
            <w:rStyle w:val="Hyperlink"/>
            <w:noProof/>
          </w:rPr>
          <w:t>Charges – single uplink</w:t>
        </w:r>
        <w:r>
          <w:rPr>
            <w:noProof/>
            <w:webHidden/>
          </w:rPr>
          <w:tab/>
        </w:r>
        <w:r>
          <w:rPr>
            <w:noProof/>
            <w:webHidden/>
          </w:rPr>
          <w:fldChar w:fldCharType="begin"/>
        </w:r>
        <w:r>
          <w:rPr>
            <w:noProof/>
            <w:webHidden/>
          </w:rPr>
          <w:instrText xml:space="preserve"> PAGEREF _Toc477170889 \h </w:instrText>
        </w:r>
        <w:r>
          <w:rPr>
            <w:noProof/>
            <w:webHidden/>
          </w:rPr>
        </w:r>
        <w:r>
          <w:rPr>
            <w:noProof/>
            <w:webHidden/>
          </w:rPr>
          <w:fldChar w:fldCharType="separate"/>
        </w:r>
        <w:r w:rsidR="00EB0FC0">
          <w:rPr>
            <w:noProof/>
            <w:webHidden/>
          </w:rPr>
          <w:t>12</w:t>
        </w:r>
        <w:r>
          <w:rPr>
            <w:noProof/>
            <w:webHidden/>
          </w:rPr>
          <w:fldChar w:fldCharType="end"/>
        </w:r>
      </w:hyperlink>
    </w:p>
    <w:p w14:paraId="0DDC6519" w14:textId="77777777" w:rsidR="004A1F36" w:rsidRPr="008F6229" w:rsidRDefault="004A1F36">
      <w:pPr>
        <w:pStyle w:val="TOC2"/>
        <w:rPr>
          <w:rFonts w:ascii="Calibri" w:hAnsi="Calibri"/>
          <w:noProof/>
          <w:sz w:val="22"/>
          <w:szCs w:val="22"/>
          <w:lang w:val="en-US"/>
        </w:rPr>
      </w:pPr>
      <w:hyperlink w:anchor="_Toc477170890" w:history="1">
        <w:r w:rsidRPr="00233633">
          <w:rPr>
            <w:rStyle w:val="Hyperlink"/>
            <w:noProof/>
          </w:rPr>
          <w:t>Monthly link bandwidth charges – to CBD and business zones</w:t>
        </w:r>
        <w:r>
          <w:rPr>
            <w:noProof/>
            <w:webHidden/>
          </w:rPr>
          <w:tab/>
        </w:r>
        <w:r>
          <w:rPr>
            <w:noProof/>
            <w:webHidden/>
          </w:rPr>
          <w:fldChar w:fldCharType="begin"/>
        </w:r>
        <w:r>
          <w:rPr>
            <w:noProof/>
            <w:webHidden/>
          </w:rPr>
          <w:instrText xml:space="preserve"> PAGEREF _Toc477170890 \h </w:instrText>
        </w:r>
        <w:r>
          <w:rPr>
            <w:noProof/>
            <w:webHidden/>
          </w:rPr>
        </w:r>
        <w:r>
          <w:rPr>
            <w:noProof/>
            <w:webHidden/>
          </w:rPr>
          <w:fldChar w:fldCharType="separate"/>
        </w:r>
        <w:r w:rsidR="00EB0FC0">
          <w:rPr>
            <w:noProof/>
            <w:webHidden/>
          </w:rPr>
          <w:t>12</w:t>
        </w:r>
        <w:r>
          <w:rPr>
            <w:noProof/>
            <w:webHidden/>
          </w:rPr>
          <w:fldChar w:fldCharType="end"/>
        </w:r>
      </w:hyperlink>
    </w:p>
    <w:p w14:paraId="5B1F2129" w14:textId="77777777" w:rsidR="004A1F36" w:rsidRPr="008F6229" w:rsidRDefault="004A1F36">
      <w:pPr>
        <w:pStyle w:val="TOC2"/>
        <w:rPr>
          <w:rFonts w:ascii="Calibri" w:hAnsi="Calibri"/>
          <w:noProof/>
          <w:sz w:val="22"/>
          <w:szCs w:val="22"/>
          <w:lang w:val="en-US"/>
        </w:rPr>
      </w:pPr>
      <w:hyperlink w:anchor="_Toc477170891" w:history="1">
        <w:r w:rsidRPr="00233633">
          <w:rPr>
            <w:rStyle w:val="Hyperlink"/>
            <w:noProof/>
          </w:rPr>
          <w:t>Monthly link bandwidth charges – to metropolitan zones</w:t>
        </w:r>
        <w:r>
          <w:rPr>
            <w:noProof/>
            <w:webHidden/>
          </w:rPr>
          <w:tab/>
        </w:r>
        <w:r>
          <w:rPr>
            <w:noProof/>
            <w:webHidden/>
          </w:rPr>
          <w:fldChar w:fldCharType="begin"/>
        </w:r>
        <w:r>
          <w:rPr>
            <w:noProof/>
            <w:webHidden/>
          </w:rPr>
          <w:instrText xml:space="preserve"> PAGEREF _Toc477170891 \h </w:instrText>
        </w:r>
        <w:r>
          <w:rPr>
            <w:noProof/>
            <w:webHidden/>
          </w:rPr>
        </w:r>
        <w:r>
          <w:rPr>
            <w:noProof/>
            <w:webHidden/>
          </w:rPr>
          <w:fldChar w:fldCharType="separate"/>
        </w:r>
        <w:r w:rsidR="00EB0FC0">
          <w:rPr>
            <w:noProof/>
            <w:webHidden/>
          </w:rPr>
          <w:t>13</w:t>
        </w:r>
        <w:r>
          <w:rPr>
            <w:noProof/>
            <w:webHidden/>
          </w:rPr>
          <w:fldChar w:fldCharType="end"/>
        </w:r>
      </w:hyperlink>
    </w:p>
    <w:p w14:paraId="5447FAC2" w14:textId="77777777" w:rsidR="004A1F36" w:rsidRPr="008F6229" w:rsidRDefault="004A1F36">
      <w:pPr>
        <w:pStyle w:val="TOC1"/>
        <w:tabs>
          <w:tab w:val="left" w:pos="1474"/>
        </w:tabs>
        <w:rPr>
          <w:rFonts w:ascii="Calibri" w:hAnsi="Calibri"/>
          <w:b w:val="0"/>
          <w:noProof/>
          <w:sz w:val="22"/>
          <w:szCs w:val="22"/>
          <w:lang w:val="en-US"/>
        </w:rPr>
      </w:pPr>
      <w:hyperlink w:anchor="_Toc477170892" w:history="1">
        <w:r w:rsidRPr="00233633">
          <w:rPr>
            <w:rStyle w:val="Hyperlink"/>
            <w:noProof/>
          </w:rPr>
          <w:t>5</w:t>
        </w:r>
        <w:r w:rsidRPr="008F6229">
          <w:rPr>
            <w:rFonts w:ascii="Calibri" w:hAnsi="Calibri"/>
            <w:b w:val="0"/>
            <w:noProof/>
            <w:sz w:val="22"/>
            <w:szCs w:val="22"/>
            <w:lang w:val="en-US"/>
          </w:rPr>
          <w:tab/>
        </w:r>
        <w:r w:rsidRPr="00233633">
          <w:rPr>
            <w:rStyle w:val="Hyperlink"/>
            <w:noProof/>
          </w:rPr>
          <w:t>Charges – dual uplink and fully redundant connection</w:t>
        </w:r>
        <w:r>
          <w:rPr>
            <w:noProof/>
            <w:webHidden/>
          </w:rPr>
          <w:tab/>
        </w:r>
        <w:r>
          <w:rPr>
            <w:noProof/>
            <w:webHidden/>
          </w:rPr>
          <w:fldChar w:fldCharType="begin"/>
        </w:r>
        <w:r>
          <w:rPr>
            <w:noProof/>
            <w:webHidden/>
          </w:rPr>
          <w:instrText xml:space="preserve"> PAGEREF _Toc477170892 \h </w:instrText>
        </w:r>
        <w:r>
          <w:rPr>
            <w:noProof/>
            <w:webHidden/>
          </w:rPr>
        </w:r>
        <w:r>
          <w:rPr>
            <w:noProof/>
            <w:webHidden/>
          </w:rPr>
          <w:fldChar w:fldCharType="separate"/>
        </w:r>
        <w:r w:rsidR="00EB0FC0">
          <w:rPr>
            <w:noProof/>
            <w:webHidden/>
          </w:rPr>
          <w:t>14</w:t>
        </w:r>
        <w:r>
          <w:rPr>
            <w:noProof/>
            <w:webHidden/>
          </w:rPr>
          <w:fldChar w:fldCharType="end"/>
        </w:r>
      </w:hyperlink>
    </w:p>
    <w:p w14:paraId="686BCEA6" w14:textId="77777777" w:rsidR="004A1F36" w:rsidRPr="008F6229" w:rsidRDefault="004A1F36">
      <w:pPr>
        <w:pStyle w:val="TOC2"/>
        <w:rPr>
          <w:rFonts w:ascii="Calibri" w:hAnsi="Calibri"/>
          <w:noProof/>
          <w:sz w:val="22"/>
          <w:szCs w:val="22"/>
          <w:lang w:val="en-US"/>
        </w:rPr>
      </w:pPr>
      <w:hyperlink w:anchor="_Toc477170893" w:history="1">
        <w:r w:rsidRPr="00233633">
          <w:rPr>
            <w:rStyle w:val="Hyperlink"/>
            <w:noProof/>
          </w:rPr>
          <w:t>Link bandwidth charges – to CBD and business zones</w:t>
        </w:r>
        <w:r>
          <w:rPr>
            <w:noProof/>
            <w:webHidden/>
          </w:rPr>
          <w:tab/>
        </w:r>
        <w:r>
          <w:rPr>
            <w:noProof/>
            <w:webHidden/>
          </w:rPr>
          <w:fldChar w:fldCharType="begin"/>
        </w:r>
        <w:r>
          <w:rPr>
            <w:noProof/>
            <w:webHidden/>
          </w:rPr>
          <w:instrText xml:space="preserve"> PAGEREF _Toc477170893 \h </w:instrText>
        </w:r>
        <w:r>
          <w:rPr>
            <w:noProof/>
            <w:webHidden/>
          </w:rPr>
        </w:r>
        <w:r>
          <w:rPr>
            <w:noProof/>
            <w:webHidden/>
          </w:rPr>
          <w:fldChar w:fldCharType="separate"/>
        </w:r>
        <w:r w:rsidR="00EB0FC0">
          <w:rPr>
            <w:noProof/>
            <w:webHidden/>
          </w:rPr>
          <w:t>14</w:t>
        </w:r>
        <w:r>
          <w:rPr>
            <w:noProof/>
            <w:webHidden/>
          </w:rPr>
          <w:fldChar w:fldCharType="end"/>
        </w:r>
      </w:hyperlink>
    </w:p>
    <w:p w14:paraId="0AE39EE8" w14:textId="77777777" w:rsidR="004A1F36" w:rsidRPr="008F6229" w:rsidRDefault="004A1F36">
      <w:pPr>
        <w:pStyle w:val="TOC2"/>
        <w:rPr>
          <w:rFonts w:ascii="Calibri" w:hAnsi="Calibri"/>
          <w:noProof/>
          <w:sz w:val="22"/>
          <w:szCs w:val="22"/>
          <w:lang w:val="en-US"/>
        </w:rPr>
      </w:pPr>
      <w:hyperlink w:anchor="_Toc477170894" w:history="1">
        <w:r w:rsidRPr="00233633">
          <w:rPr>
            <w:rStyle w:val="Hyperlink"/>
            <w:noProof/>
          </w:rPr>
          <w:t>Link bandwidth charges – to metropolitan zones</w:t>
        </w:r>
        <w:r>
          <w:rPr>
            <w:noProof/>
            <w:webHidden/>
          </w:rPr>
          <w:tab/>
        </w:r>
        <w:r>
          <w:rPr>
            <w:noProof/>
            <w:webHidden/>
          </w:rPr>
          <w:fldChar w:fldCharType="begin"/>
        </w:r>
        <w:r>
          <w:rPr>
            <w:noProof/>
            <w:webHidden/>
          </w:rPr>
          <w:instrText xml:space="preserve"> PAGEREF _Toc477170894 \h </w:instrText>
        </w:r>
        <w:r>
          <w:rPr>
            <w:noProof/>
            <w:webHidden/>
          </w:rPr>
        </w:r>
        <w:r>
          <w:rPr>
            <w:noProof/>
            <w:webHidden/>
          </w:rPr>
          <w:fldChar w:fldCharType="separate"/>
        </w:r>
        <w:r w:rsidR="00EB0FC0">
          <w:rPr>
            <w:noProof/>
            <w:webHidden/>
          </w:rPr>
          <w:t>15</w:t>
        </w:r>
        <w:r>
          <w:rPr>
            <w:noProof/>
            <w:webHidden/>
          </w:rPr>
          <w:fldChar w:fldCharType="end"/>
        </w:r>
      </w:hyperlink>
    </w:p>
    <w:p w14:paraId="5953F3A3" w14:textId="77777777" w:rsidR="004A1F36" w:rsidRPr="008F6229" w:rsidRDefault="004A1F36">
      <w:pPr>
        <w:pStyle w:val="TOC2"/>
        <w:rPr>
          <w:rFonts w:ascii="Calibri" w:hAnsi="Calibri"/>
          <w:noProof/>
          <w:sz w:val="22"/>
          <w:szCs w:val="22"/>
          <w:lang w:val="en-US"/>
        </w:rPr>
      </w:pPr>
      <w:hyperlink w:anchor="_Toc477170895" w:history="1">
        <w:r w:rsidRPr="00233633">
          <w:rPr>
            <w:rStyle w:val="Hyperlink"/>
            <w:noProof/>
          </w:rPr>
          <w:t>Link bandwidth charges – per second charging</w:t>
        </w:r>
        <w:r>
          <w:rPr>
            <w:noProof/>
            <w:webHidden/>
          </w:rPr>
          <w:tab/>
        </w:r>
        <w:r>
          <w:rPr>
            <w:noProof/>
            <w:webHidden/>
          </w:rPr>
          <w:fldChar w:fldCharType="begin"/>
        </w:r>
        <w:r>
          <w:rPr>
            <w:noProof/>
            <w:webHidden/>
          </w:rPr>
          <w:instrText xml:space="preserve"> PAGEREF _Toc477170895 \h </w:instrText>
        </w:r>
        <w:r>
          <w:rPr>
            <w:noProof/>
            <w:webHidden/>
          </w:rPr>
        </w:r>
        <w:r>
          <w:rPr>
            <w:noProof/>
            <w:webHidden/>
          </w:rPr>
          <w:fldChar w:fldCharType="separate"/>
        </w:r>
        <w:r w:rsidR="00EB0FC0">
          <w:rPr>
            <w:noProof/>
            <w:webHidden/>
          </w:rPr>
          <w:t>17</w:t>
        </w:r>
        <w:r>
          <w:rPr>
            <w:noProof/>
            <w:webHidden/>
          </w:rPr>
          <w:fldChar w:fldCharType="end"/>
        </w:r>
      </w:hyperlink>
    </w:p>
    <w:p w14:paraId="04B68764" w14:textId="77777777" w:rsidR="004A1F36" w:rsidRPr="008F6229" w:rsidRDefault="004A1F36">
      <w:pPr>
        <w:pStyle w:val="TOC2"/>
        <w:rPr>
          <w:rFonts w:ascii="Calibri" w:hAnsi="Calibri"/>
          <w:noProof/>
          <w:sz w:val="22"/>
          <w:szCs w:val="22"/>
          <w:lang w:val="en-US"/>
        </w:rPr>
      </w:pPr>
      <w:hyperlink w:anchor="_Toc477170896" w:history="1">
        <w:r w:rsidRPr="00233633">
          <w:rPr>
            <w:rStyle w:val="Hyperlink"/>
            <w:noProof/>
          </w:rPr>
          <w:t>Monthly port charges</w:t>
        </w:r>
        <w:r>
          <w:rPr>
            <w:noProof/>
            <w:webHidden/>
          </w:rPr>
          <w:tab/>
        </w:r>
        <w:r>
          <w:rPr>
            <w:noProof/>
            <w:webHidden/>
          </w:rPr>
          <w:fldChar w:fldCharType="begin"/>
        </w:r>
        <w:r>
          <w:rPr>
            <w:noProof/>
            <w:webHidden/>
          </w:rPr>
          <w:instrText xml:space="preserve"> PAGEREF _Toc477170896 \h </w:instrText>
        </w:r>
        <w:r>
          <w:rPr>
            <w:noProof/>
            <w:webHidden/>
          </w:rPr>
        </w:r>
        <w:r>
          <w:rPr>
            <w:noProof/>
            <w:webHidden/>
          </w:rPr>
          <w:fldChar w:fldCharType="separate"/>
        </w:r>
        <w:r w:rsidR="00EB0FC0">
          <w:rPr>
            <w:noProof/>
            <w:webHidden/>
          </w:rPr>
          <w:t>17</w:t>
        </w:r>
        <w:r>
          <w:rPr>
            <w:noProof/>
            <w:webHidden/>
          </w:rPr>
          <w:fldChar w:fldCharType="end"/>
        </w:r>
      </w:hyperlink>
    </w:p>
    <w:p w14:paraId="6974AC44" w14:textId="77777777" w:rsidR="004A1F36" w:rsidRPr="008F6229" w:rsidRDefault="004A1F36">
      <w:pPr>
        <w:pStyle w:val="TOC2"/>
        <w:rPr>
          <w:rFonts w:ascii="Calibri" w:hAnsi="Calibri"/>
          <w:noProof/>
          <w:sz w:val="22"/>
          <w:szCs w:val="22"/>
          <w:lang w:val="en-US"/>
        </w:rPr>
      </w:pPr>
      <w:hyperlink w:anchor="_Toc477170897" w:history="1">
        <w:r w:rsidRPr="00233633">
          <w:rPr>
            <w:rStyle w:val="Hyperlink"/>
            <w:noProof/>
          </w:rPr>
          <w:t>Fully redundant connection – additional annual charge</w:t>
        </w:r>
        <w:r>
          <w:rPr>
            <w:noProof/>
            <w:webHidden/>
          </w:rPr>
          <w:tab/>
        </w:r>
        <w:r>
          <w:rPr>
            <w:noProof/>
            <w:webHidden/>
          </w:rPr>
          <w:fldChar w:fldCharType="begin"/>
        </w:r>
        <w:r>
          <w:rPr>
            <w:noProof/>
            <w:webHidden/>
          </w:rPr>
          <w:instrText xml:space="preserve"> PAGEREF _Toc477170897 \h </w:instrText>
        </w:r>
        <w:r>
          <w:rPr>
            <w:noProof/>
            <w:webHidden/>
          </w:rPr>
        </w:r>
        <w:r>
          <w:rPr>
            <w:noProof/>
            <w:webHidden/>
          </w:rPr>
          <w:fldChar w:fldCharType="separate"/>
        </w:r>
        <w:r w:rsidR="00EB0FC0">
          <w:rPr>
            <w:noProof/>
            <w:webHidden/>
          </w:rPr>
          <w:t>18</w:t>
        </w:r>
        <w:r>
          <w:rPr>
            <w:noProof/>
            <w:webHidden/>
          </w:rPr>
          <w:fldChar w:fldCharType="end"/>
        </w:r>
      </w:hyperlink>
    </w:p>
    <w:p w14:paraId="3C019B99" w14:textId="77777777" w:rsidR="004A1F36" w:rsidRPr="008F6229" w:rsidRDefault="004A1F36">
      <w:pPr>
        <w:pStyle w:val="TOC1"/>
        <w:tabs>
          <w:tab w:val="left" w:pos="1474"/>
        </w:tabs>
        <w:rPr>
          <w:rFonts w:ascii="Calibri" w:hAnsi="Calibri"/>
          <w:b w:val="0"/>
          <w:noProof/>
          <w:sz w:val="22"/>
          <w:szCs w:val="22"/>
          <w:lang w:val="en-US"/>
        </w:rPr>
      </w:pPr>
      <w:hyperlink w:anchor="_Toc477170898" w:history="1">
        <w:r w:rsidRPr="00233633">
          <w:rPr>
            <w:rStyle w:val="Hyperlink"/>
            <w:noProof/>
          </w:rPr>
          <w:t>6</w:t>
        </w:r>
        <w:r w:rsidRPr="008F6229">
          <w:rPr>
            <w:rFonts w:ascii="Calibri" w:hAnsi="Calibri"/>
            <w:b w:val="0"/>
            <w:noProof/>
            <w:sz w:val="22"/>
            <w:szCs w:val="22"/>
            <w:lang w:val="en-US"/>
          </w:rPr>
          <w:tab/>
        </w:r>
        <w:r w:rsidRPr="00233633">
          <w:rPr>
            <w:rStyle w:val="Hyperlink"/>
            <w:noProof/>
          </w:rPr>
          <w:t>Changing your service</w:t>
        </w:r>
        <w:r>
          <w:rPr>
            <w:noProof/>
            <w:webHidden/>
          </w:rPr>
          <w:tab/>
        </w:r>
        <w:r>
          <w:rPr>
            <w:noProof/>
            <w:webHidden/>
          </w:rPr>
          <w:fldChar w:fldCharType="begin"/>
        </w:r>
        <w:r>
          <w:rPr>
            <w:noProof/>
            <w:webHidden/>
          </w:rPr>
          <w:instrText xml:space="preserve"> PAGEREF _Toc477170898 \h </w:instrText>
        </w:r>
        <w:r>
          <w:rPr>
            <w:noProof/>
            <w:webHidden/>
          </w:rPr>
        </w:r>
        <w:r>
          <w:rPr>
            <w:noProof/>
            <w:webHidden/>
          </w:rPr>
          <w:fldChar w:fldCharType="separate"/>
        </w:r>
        <w:r w:rsidR="00EB0FC0">
          <w:rPr>
            <w:noProof/>
            <w:webHidden/>
          </w:rPr>
          <w:t>18</w:t>
        </w:r>
        <w:r>
          <w:rPr>
            <w:noProof/>
            <w:webHidden/>
          </w:rPr>
          <w:fldChar w:fldCharType="end"/>
        </w:r>
      </w:hyperlink>
    </w:p>
    <w:p w14:paraId="24BB0FD4" w14:textId="77777777" w:rsidR="004A1F36" w:rsidRPr="008F6229" w:rsidRDefault="004A1F36">
      <w:pPr>
        <w:pStyle w:val="TOC2"/>
        <w:rPr>
          <w:rFonts w:ascii="Calibri" w:hAnsi="Calibri"/>
          <w:noProof/>
          <w:sz w:val="22"/>
          <w:szCs w:val="22"/>
          <w:lang w:val="en-US"/>
        </w:rPr>
      </w:pPr>
      <w:hyperlink w:anchor="_Toc477170899" w:history="1">
        <w:r w:rsidRPr="00233633">
          <w:rPr>
            <w:rStyle w:val="Hyperlink"/>
            <w:noProof/>
          </w:rPr>
          <w:t>Provisioning times</w:t>
        </w:r>
        <w:r>
          <w:rPr>
            <w:noProof/>
            <w:webHidden/>
          </w:rPr>
          <w:tab/>
        </w:r>
        <w:r>
          <w:rPr>
            <w:noProof/>
            <w:webHidden/>
          </w:rPr>
          <w:fldChar w:fldCharType="begin"/>
        </w:r>
        <w:r>
          <w:rPr>
            <w:noProof/>
            <w:webHidden/>
          </w:rPr>
          <w:instrText xml:space="preserve"> PAGEREF _Toc477170899 \h </w:instrText>
        </w:r>
        <w:r>
          <w:rPr>
            <w:noProof/>
            <w:webHidden/>
          </w:rPr>
        </w:r>
        <w:r>
          <w:rPr>
            <w:noProof/>
            <w:webHidden/>
          </w:rPr>
          <w:fldChar w:fldCharType="separate"/>
        </w:r>
        <w:r w:rsidR="00EB0FC0">
          <w:rPr>
            <w:noProof/>
            <w:webHidden/>
          </w:rPr>
          <w:t>18</w:t>
        </w:r>
        <w:r>
          <w:rPr>
            <w:noProof/>
            <w:webHidden/>
          </w:rPr>
          <w:fldChar w:fldCharType="end"/>
        </w:r>
      </w:hyperlink>
    </w:p>
    <w:p w14:paraId="375B0A4A" w14:textId="77777777" w:rsidR="004A1F36" w:rsidRPr="008F6229" w:rsidRDefault="004A1F36">
      <w:pPr>
        <w:pStyle w:val="TOC2"/>
        <w:rPr>
          <w:rFonts w:ascii="Calibri" w:hAnsi="Calibri"/>
          <w:noProof/>
          <w:sz w:val="22"/>
          <w:szCs w:val="22"/>
          <w:lang w:val="en-US"/>
        </w:rPr>
      </w:pPr>
      <w:hyperlink w:anchor="_Toc477170900" w:history="1">
        <w:r w:rsidRPr="00233633">
          <w:rPr>
            <w:rStyle w:val="Hyperlink"/>
            <w:noProof/>
          </w:rPr>
          <w:t>Changing your link bandwidth</w:t>
        </w:r>
        <w:r>
          <w:rPr>
            <w:noProof/>
            <w:webHidden/>
          </w:rPr>
          <w:tab/>
        </w:r>
        <w:r>
          <w:rPr>
            <w:noProof/>
            <w:webHidden/>
          </w:rPr>
          <w:fldChar w:fldCharType="begin"/>
        </w:r>
        <w:r>
          <w:rPr>
            <w:noProof/>
            <w:webHidden/>
          </w:rPr>
          <w:instrText xml:space="preserve"> PAGEREF _Toc477170900 \h </w:instrText>
        </w:r>
        <w:r>
          <w:rPr>
            <w:noProof/>
            <w:webHidden/>
          </w:rPr>
        </w:r>
        <w:r>
          <w:rPr>
            <w:noProof/>
            <w:webHidden/>
          </w:rPr>
          <w:fldChar w:fldCharType="separate"/>
        </w:r>
        <w:r w:rsidR="00EB0FC0">
          <w:rPr>
            <w:noProof/>
            <w:webHidden/>
          </w:rPr>
          <w:t>18</w:t>
        </w:r>
        <w:r>
          <w:rPr>
            <w:noProof/>
            <w:webHidden/>
          </w:rPr>
          <w:fldChar w:fldCharType="end"/>
        </w:r>
      </w:hyperlink>
    </w:p>
    <w:p w14:paraId="3AA67D4B" w14:textId="77777777" w:rsidR="004A1F36" w:rsidRPr="008F6229" w:rsidRDefault="004A1F36">
      <w:pPr>
        <w:pStyle w:val="TOC2"/>
        <w:rPr>
          <w:rFonts w:ascii="Calibri" w:hAnsi="Calibri"/>
          <w:noProof/>
          <w:sz w:val="22"/>
          <w:szCs w:val="22"/>
          <w:lang w:val="en-US"/>
        </w:rPr>
      </w:pPr>
      <w:hyperlink w:anchor="_Toc477170901" w:history="1">
        <w:r w:rsidRPr="00233633">
          <w:rPr>
            <w:rStyle w:val="Hyperlink"/>
            <w:noProof/>
          </w:rPr>
          <w:t>Minor network changes</w:t>
        </w:r>
        <w:r>
          <w:rPr>
            <w:noProof/>
            <w:webHidden/>
          </w:rPr>
          <w:tab/>
        </w:r>
        <w:r>
          <w:rPr>
            <w:noProof/>
            <w:webHidden/>
          </w:rPr>
          <w:fldChar w:fldCharType="begin"/>
        </w:r>
        <w:r>
          <w:rPr>
            <w:noProof/>
            <w:webHidden/>
          </w:rPr>
          <w:instrText xml:space="preserve"> PAGEREF _Toc477170901 \h </w:instrText>
        </w:r>
        <w:r>
          <w:rPr>
            <w:noProof/>
            <w:webHidden/>
          </w:rPr>
        </w:r>
        <w:r>
          <w:rPr>
            <w:noProof/>
            <w:webHidden/>
          </w:rPr>
          <w:fldChar w:fldCharType="separate"/>
        </w:r>
        <w:r w:rsidR="00EB0FC0">
          <w:rPr>
            <w:noProof/>
            <w:webHidden/>
          </w:rPr>
          <w:t>20</w:t>
        </w:r>
        <w:r>
          <w:rPr>
            <w:noProof/>
            <w:webHidden/>
          </w:rPr>
          <w:fldChar w:fldCharType="end"/>
        </w:r>
      </w:hyperlink>
    </w:p>
    <w:p w14:paraId="202179DE" w14:textId="77777777" w:rsidR="004A1F36" w:rsidRPr="008F6229" w:rsidRDefault="004A1F36">
      <w:pPr>
        <w:pStyle w:val="TOC2"/>
        <w:rPr>
          <w:rFonts w:ascii="Calibri" w:hAnsi="Calibri"/>
          <w:noProof/>
          <w:sz w:val="22"/>
          <w:szCs w:val="22"/>
          <w:lang w:val="en-US"/>
        </w:rPr>
      </w:pPr>
      <w:hyperlink w:anchor="_Toc477170902" w:history="1">
        <w:r w:rsidRPr="00233633">
          <w:rPr>
            <w:rStyle w:val="Hyperlink"/>
            <w:noProof/>
          </w:rPr>
          <w:t>New and replacement secure ID devices</w:t>
        </w:r>
        <w:r>
          <w:rPr>
            <w:noProof/>
            <w:webHidden/>
          </w:rPr>
          <w:tab/>
        </w:r>
        <w:r>
          <w:rPr>
            <w:noProof/>
            <w:webHidden/>
          </w:rPr>
          <w:fldChar w:fldCharType="begin"/>
        </w:r>
        <w:r>
          <w:rPr>
            <w:noProof/>
            <w:webHidden/>
          </w:rPr>
          <w:instrText xml:space="preserve"> PAGEREF _Toc477170902 \h </w:instrText>
        </w:r>
        <w:r>
          <w:rPr>
            <w:noProof/>
            <w:webHidden/>
          </w:rPr>
        </w:r>
        <w:r>
          <w:rPr>
            <w:noProof/>
            <w:webHidden/>
          </w:rPr>
          <w:fldChar w:fldCharType="separate"/>
        </w:r>
        <w:r w:rsidR="00EB0FC0">
          <w:rPr>
            <w:noProof/>
            <w:webHidden/>
          </w:rPr>
          <w:t>20</w:t>
        </w:r>
        <w:r>
          <w:rPr>
            <w:noProof/>
            <w:webHidden/>
          </w:rPr>
          <w:fldChar w:fldCharType="end"/>
        </w:r>
      </w:hyperlink>
    </w:p>
    <w:p w14:paraId="3F4D0866" w14:textId="77777777" w:rsidR="004A1F36" w:rsidRPr="008F6229" w:rsidRDefault="004A1F36">
      <w:pPr>
        <w:pStyle w:val="TOC2"/>
        <w:rPr>
          <w:rFonts w:ascii="Calibri" w:hAnsi="Calibri"/>
          <w:noProof/>
          <w:sz w:val="22"/>
          <w:szCs w:val="22"/>
          <w:lang w:val="en-US"/>
        </w:rPr>
      </w:pPr>
      <w:hyperlink w:anchor="_Toc477170903" w:history="1">
        <w:r w:rsidRPr="00233633">
          <w:rPr>
            <w:rStyle w:val="Hyperlink"/>
            <w:noProof/>
            <w:lang w:val="en-US"/>
          </w:rPr>
          <w:t>Changing the physical port type</w:t>
        </w:r>
        <w:r>
          <w:rPr>
            <w:noProof/>
            <w:webHidden/>
          </w:rPr>
          <w:tab/>
        </w:r>
        <w:r>
          <w:rPr>
            <w:noProof/>
            <w:webHidden/>
          </w:rPr>
          <w:fldChar w:fldCharType="begin"/>
        </w:r>
        <w:r>
          <w:rPr>
            <w:noProof/>
            <w:webHidden/>
          </w:rPr>
          <w:instrText xml:space="preserve"> PAGEREF _Toc477170903 \h </w:instrText>
        </w:r>
        <w:r>
          <w:rPr>
            <w:noProof/>
            <w:webHidden/>
          </w:rPr>
        </w:r>
        <w:r>
          <w:rPr>
            <w:noProof/>
            <w:webHidden/>
          </w:rPr>
          <w:fldChar w:fldCharType="separate"/>
        </w:r>
        <w:r w:rsidR="00EB0FC0">
          <w:rPr>
            <w:noProof/>
            <w:webHidden/>
          </w:rPr>
          <w:t>20</w:t>
        </w:r>
        <w:r>
          <w:rPr>
            <w:noProof/>
            <w:webHidden/>
          </w:rPr>
          <w:fldChar w:fldCharType="end"/>
        </w:r>
      </w:hyperlink>
    </w:p>
    <w:p w14:paraId="0948073A" w14:textId="77777777" w:rsidR="004A1F36" w:rsidRPr="008F6229" w:rsidRDefault="004A1F36">
      <w:pPr>
        <w:pStyle w:val="TOC2"/>
        <w:rPr>
          <w:rFonts w:ascii="Calibri" w:hAnsi="Calibri"/>
          <w:noProof/>
          <w:sz w:val="22"/>
          <w:szCs w:val="22"/>
          <w:lang w:val="en-US"/>
        </w:rPr>
      </w:pPr>
      <w:hyperlink w:anchor="_Toc477170904" w:history="1">
        <w:r w:rsidRPr="00233633">
          <w:rPr>
            <w:rStyle w:val="Hyperlink"/>
            <w:noProof/>
            <w:lang w:val="en-US"/>
          </w:rPr>
          <w:t>Converting your service</w:t>
        </w:r>
        <w:r>
          <w:rPr>
            <w:noProof/>
            <w:webHidden/>
          </w:rPr>
          <w:tab/>
        </w:r>
        <w:r>
          <w:rPr>
            <w:noProof/>
            <w:webHidden/>
          </w:rPr>
          <w:fldChar w:fldCharType="begin"/>
        </w:r>
        <w:r>
          <w:rPr>
            <w:noProof/>
            <w:webHidden/>
          </w:rPr>
          <w:instrText xml:space="preserve"> PAGEREF _Toc477170904 \h </w:instrText>
        </w:r>
        <w:r>
          <w:rPr>
            <w:noProof/>
            <w:webHidden/>
          </w:rPr>
        </w:r>
        <w:r>
          <w:rPr>
            <w:noProof/>
            <w:webHidden/>
          </w:rPr>
          <w:fldChar w:fldCharType="separate"/>
        </w:r>
        <w:r w:rsidR="00EB0FC0">
          <w:rPr>
            <w:noProof/>
            <w:webHidden/>
          </w:rPr>
          <w:t>20</w:t>
        </w:r>
        <w:r>
          <w:rPr>
            <w:noProof/>
            <w:webHidden/>
          </w:rPr>
          <w:fldChar w:fldCharType="end"/>
        </w:r>
      </w:hyperlink>
    </w:p>
    <w:p w14:paraId="2B49EB34" w14:textId="77777777" w:rsidR="004A1F36" w:rsidRPr="008F6229" w:rsidRDefault="004A1F36">
      <w:pPr>
        <w:pStyle w:val="TOC2"/>
        <w:rPr>
          <w:rFonts w:ascii="Calibri" w:hAnsi="Calibri"/>
          <w:noProof/>
          <w:sz w:val="22"/>
          <w:szCs w:val="22"/>
          <w:lang w:val="en-US"/>
        </w:rPr>
      </w:pPr>
      <w:hyperlink w:anchor="_Toc477170905" w:history="1">
        <w:r w:rsidRPr="00233633">
          <w:rPr>
            <w:rStyle w:val="Hyperlink"/>
            <w:noProof/>
          </w:rPr>
          <w:t>Indoor removal and miscellaneous works</w:t>
        </w:r>
        <w:r>
          <w:rPr>
            <w:noProof/>
            <w:webHidden/>
          </w:rPr>
          <w:tab/>
        </w:r>
        <w:r>
          <w:rPr>
            <w:noProof/>
            <w:webHidden/>
          </w:rPr>
          <w:fldChar w:fldCharType="begin"/>
        </w:r>
        <w:r>
          <w:rPr>
            <w:noProof/>
            <w:webHidden/>
          </w:rPr>
          <w:instrText xml:space="preserve"> PAGEREF _Toc477170905 \h </w:instrText>
        </w:r>
        <w:r>
          <w:rPr>
            <w:noProof/>
            <w:webHidden/>
          </w:rPr>
        </w:r>
        <w:r>
          <w:rPr>
            <w:noProof/>
            <w:webHidden/>
          </w:rPr>
          <w:fldChar w:fldCharType="separate"/>
        </w:r>
        <w:r w:rsidR="00EB0FC0">
          <w:rPr>
            <w:noProof/>
            <w:webHidden/>
          </w:rPr>
          <w:t>21</w:t>
        </w:r>
        <w:r>
          <w:rPr>
            <w:noProof/>
            <w:webHidden/>
          </w:rPr>
          <w:fldChar w:fldCharType="end"/>
        </w:r>
      </w:hyperlink>
    </w:p>
    <w:p w14:paraId="4DD0E708" w14:textId="77777777" w:rsidR="004A1F36" w:rsidRPr="008F6229" w:rsidRDefault="004A1F36">
      <w:pPr>
        <w:pStyle w:val="TOC1"/>
        <w:tabs>
          <w:tab w:val="left" w:pos="1474"/>
        </w:tabs>
        <w:rPr>
          <w:rFonts w:ascii="Calibri" w:hAnsi="Calibri"/>
          <w:b w:val="0"/>
          <w:noProof/>
          <w:sz w:val="22"/>
          <w:szCs w:val="22"/>
          <w:lang w:val="en-US"/>
        </w:rPr>
      </w:pPr>
      <w:hyperlink w:anchor="_Toc477170906" w:history="1">
        <w:r w:rsidRPr="00233633">
          <w:rPr>
            <w:rStyle w:val="Hyperlink"/>
            <w:noProof/>
          </w:rPr>
          <w:t>7</w:t>
        </w:r>
        <w:r w:rsidRPr="008F6229">
          <w:rPr>
            <w:rFonts w:ascii="Calibri" w:hAnsi="Calibri"/>
            <w:b w:val="0"/>
            <w:noProof/>
            <w:sz w:val="22"/>
            <w:szCs w:val="22"/>
            <w:lang w:val="en-US"/>
          </w:rPr>
          <w:tab/>
        </w:r>
        <w:r w:rsidRPr="00233633">
          <w:rPr>
            <w:rStyle w:val="Hyperlink"/>
            <w:noProof/>
          </w:rPr>
          <w:t>Performance specifications</w:t>
        </w:r>
        <w:r>
          <w:rPr>
            <w:noProof/>
            <w:webHidden/>
          </w:rPr>
          <w:tab/>
        </w:r>
        <w:r>
          <w:rPr>
            <w:noProof/>
            <w:webHidden/>
          </w:rPr>
          <w:fldChar w:fldCharType="begin"/>
        </w:r>
        <w:r>
          <w:rPr>
            <w:noProof/>
            <w:webHidden/>
          </w:rPr>
          <w:instrText xml:space="preserve"> PAGEREF _Toc477170906 \h </w:instrText>
        </w:r>
        <w:r>
          <w:rPr>
            <w:noProof/>
            <w:webHidden/>
          </w:rPr>
        </w:r>
        <w:r>
          <w:rPr>
            <w:noProof/>
            <w:webHidden/>
          </w:rPr>
          <w:fldChar w:fldCharType="separate"/>
        </w:r>
        <w:r w:rsidR="00EB0FC0">
          <w:rPr>
            <w:noProof/>
            <w:webHidden/>
          </w:rPr>
          <w:t>21</w:t>
        </w:r>
        <w:r>
          <w:rPr>
            <w:noProof/>
            <w:webHidden/>
          </w:rPr>
          <w:fldChar w:fldCharType="end"/>
        </w:r>
      </w:hyperlink>
    </w:p>
    <w:p w14:paraId="623C0023" w14:textId="77777777" w:rsidR="004A1F36" w:rsidRPr="008F6229" w:rsidRDefault="004A1F36">
      <w:pPr>
        <w:pStyle w:val="TOC1"/>
        <w:tabs>
          <w:tab w:val="left" w:pos="1474"/>
        </w:tabs>
        <w:rPr>
          <w:rFonts w:ascii="Calibri" w:hAnsi="Calibri"/>
          <w:b w:val="0"/>
          <w:noProof/>
          <w:sz w:val="22"/>
          <w:szCs w:val="22"/>
          <w:lang w:val="en-US"/>
        </w:rPr>
      </w:pPr>
      <w:hyperlink w:anchor="_Toc477170907" w:history="1">
        <w:r w:rsidRPr="00233633">
          <w:rPr>
            <w:rStyle w:val="Hyperlink"/>
            <w:noProof/>
          </w:rPr>
          <w:t>8</w:t>
        </w:r>
        <w:r w:rsidRPr="008F6229">
          <w:rPr>
            <w:rFonts w:ascii="Calibri" w:hAnsi="Calibri"/>
            <w:b w:val="0"/>
            <w:noProof/>
            <w:sz w:val="22"/>
            <w:szCs w:val="22"/>
            <w:lang w:val="en-US"/>
          </w:rPr>
          <w:tab/>
        </w:r>
        <w:r w:rsidRPr="00233633">
          <w:rPr>
            <w:rStyle w:val="Hyperlink"/>
            <w:noProof/>
          </w:rPr>
          <w:t>Service Assurance</w:t>
        </w:r>
        <w:r>
          <w:rPr>
            <w:noProof/>
            <w:webHidden/>
          </w:rPr>
          <w:tab/>
        </w:r>
        <w:r>
          <w:rPr>
            <w:noProof/>
            <w:webHidden/>
          </w:rPr>
          <w:fldChar w:fldCharType="begin"/>
        </w:r>
        <w:r>
          <w:rPr>
            <w:noProof/>
            <w:webHidden/>
          </w:rPr>
          <w:instrText xml:space="preserve"> PAGEREF _Toc477170907 \h </w:instrText>
        </w:r>
        <w:r>
          <w:rPr>
            <w:noProof/>
            <w:webHidden/>
          </w:rPr>
        </w:r>
        <w:r>
          <w:rPr>
            <w:noProof/>
            <w:webHidden/>
          </w:rPr>
          <w:fldChar w:fldCharType="separate"/>
        </w:r>
        <w:r w:rsidR="00EB0FC0">
          <w:rPr>
            <w:noProof/>
            <w:webHidden/>
          </w:rPr>
          <w:t>21</w:t>
        </w:r>
        <w:r>
          <w:rPr>
            <w:noProof/>
            <w:webHidden/>
          </w:rPr>
          <w:fldChar w:fldCharType="end"/>
        </w:r>
      </w:hyperlink>
    </w:p>
    <w:p w14:paraId="32DE1D93" w14:textId="77777777" w:rsidR="004A1F36" w:rsidRPr="008F6229" w:rsidRDefault="004A1F36">
      <w:pPr>
        <w:pStyle w:val="TOC2"/>
        <w:rPr>
          <w:rFonts w:ascii="Calibri" w:hAnsi="Calibri"/>
          <w:noProof/>
          <w:sz w:val="22"/>
          <w:szCs w:val="22"/>
          <w:lang w:val="en-US"/>
        </w:rPr>
      </w:pPr>
      <w:hyperlink w:anchor="_Toc477170908" w:history="1">
        <w:r w:rsidRPr="00233633">
          <w:rPr>
            <w:rStyle w:val="Hyperlink"/>
            <w:noProof/>
          </w:rPr>
          <w:t>Fault reporting and repair</w:t>
        </w:r>
        <w:r>
          <w:rPr>
            <w:noProof/>
            <w:webHidden/>
          </w:rPr>
          <w:tab/>
        </w:r>
        <w:r>
          <w:rPr>
            <w:noProof/>
            <w:webHidden/>
          </w:rPr>
          <w:fldChar w:fldCharType="begin"/>
        </w:r>
        <w:r>
          <w:rPr>
            <w:noProof/>
            <w:webHidden/>
          </w:rPr>
          <w:instrText xml:space="preserve"> PAGEREF _Toc477170908 \h </w:instrText>
        </w:r>
        <w:r>
          <w:rPr>
            <w:noProof/>
            <w:webHidden/>
          </w:rPr>
        </w:r>
        <w:r>
          <w:rPr>
            <w:noProof/>
            <w:webHidden/>
          </w:rPr>
          <w:fldChar w:fldCharType="separate"/>
        </w:r>
        <w:r w:rsidR="00EB0FC0">
          <w:rPr>
            <w:noProof/>
            <w:webHidden/>
          </w:rPr>
          <w:t>21</w:t>
        </w:r>
        <w:r>
          <w:rPr>
            <w:noProof/>
            <w:webHidden/>
          </w:rPr>
          <w:fldChar w:fldCharType="end"/>
        </w:r>
      </w:hyperlink>
    </w:p>
    <w:p w14:paraId="0E216899" w14:textId="77777777" w:rsidR="004A1F36" w:rsidRPr="008F6229" w:rsidRDefault="004A1F36">
      <w:pPr>
        <w:pStyle w:val="TOC2"/>
        <w:rPr>
          <w:rFonts w:ascii="Calibri" w:hAnsi="Calibri"/>
          <w:noProof/>
          <w:sz w:val="22"/>
          <w:szCs w:val="22"/>
          <w:lang w:val="en-US"/>
        </w:rPr>
      </w:pPr>
      <w:hyperlink w:anchor="_Toc477170909" w:history="1">
        <w:r w:rsidRPr="00233633">
          <w:rPr>
            <w:rStyle w:val="Hyperlink"/>
            <w:noProof/>
          </w:rPr>
          <w:t>Target response and repair times</w:t>
        </w:r>
        <w:r>
          <w:rPr>
            <w:noProof/>
            <w:webHidden/>
          </w:rPr>
          <w:tab/>
        </w:r>
        <w:r>
          <w:rPr>
            <w:noProof/>
            <w:webHidden/>
          </w:rPr>
          <w:fldChar w:fldCharType="begin"/>
        </w:r>
        <w:r>
          <w:rPr>
            <w:noProof/>
            <w:webHidden/>
          </w:rPr>
          <w:instrText xml:space="preserve"> PAGEREF _Toc477170909 \h </w:instrText>
        </w:r>
        <w:r>
          <w:rPr>
            <w:noProof/>
            <w:webHidden/>
          </w:rPr>
        </w:r>
        <w:r>
          <w:rPr>
            <w:noProof/>
            <w:webHidden/>
          </w:rPr>
          <w:fldChar w:fldCharType="separate"/>
        </w:r>
        <w:r w:rsidR="00EB0FC0">
          <w:rPr>
            <w:noProof/>
            <w:webHidden/>
          </w:rPr>
          <w:t>22</w:t>
        </w:r>
        <w:r>
          <w:rPr>
            <w:noProof/>
            <w:webHidden/>
          </w:rPr>
          <w:fldChar w:fldCharType="end"/>
        </w:r>
      </w:hyperlink>
    </w:p>
    <w:p w14:paraId="32B6610B" w14:textId="77777777" w:rsidR="004A1F36" w:rsidRPr="008F6229" w:rsidRDefault="004A1F36">
      <w:pPr>
        <w:pStyle w:val="TOC2"/>
        <w:rPr>
          <w:rFonts w:ascii="Calibri" w:hAnsi="Calibri"/>
          <w:noProof/>
          <w:sz w:val="22"/>
          <w:szCs w:val="22"/>
          <w:lang w:val="en-US"/>
        </w:rPr>
      </w:pPr>
      <w:hyperlink w:anchor="_Toc477170910" w:history="1">
        <w:r w:rsidRPr="00233633">
          <w:rPr>
            <w:rStyle w:val="Hyperlink"/>
            <w:noProof/>
          </w:rPr>
          <w:t>Temporary repairs</w:t>
        </w:r>
        <w:r>
          <w:rPr>
            <w:noProof/>
            <w:webHidden/>
          </w:rPr>
          <w:tab/>
        </w:r>
        <w:r>
          <w:rPr>
            <w:noProof/>
            <w:webHidden/>
          </w:rPr>
          <w:fldChar w:fldCharType="begin"/>
        </w:r>
        <w:r>
          <w:rPr>
            <w:noProof/>
            <w:webHidden/>
          </w:rPr>
          <w:instrText xml:space="preserve"> PAGEREF _Toc477170910 \h </w:instrText>
        </w:r>
        <w:r>
          <w:rPr>
            <w:noProof/>
            <w:webHidden/>
          </w:rPr>
        </w:r>
        <w:r>
          <w:rPr>
            <w:noProof/>
            <w:webHidden/>
          </w:rPr>
          <w:fldChar w:fldCharType="separate"/>
        </w:r>
        <w:r w:rsidR="00EB0FC0">
          <w:rPr>
            <w:noProof/>
            <w:webHidden/>
          </w:rPr>
          <w:t>22</w:t>
        </w:r>
        <w:r>
          <w:rPr>
            <w:noProof/>
            <w:webHidden/>
          </w:rPr>
          <w:fldChar w:fldCharType="end"/>
        </w:r>
      </w:hyperlink>
    </w:p>
    <w:p w14:paraId="19B5A3F6" w14:textId="77777777" w:rsidR="004A1F36" w:rsidRPr="008F6229" w:rsidRDefault="004A1F36">
      <w:pPr>
        <w:pStyle w:val="TOC2"/>
        <w:rPr>
          <w:rFonts w:ascii="Calibri" w:hAnsi="Calibri"/>
          <w:noProof/>
          <w:sz w:val="22"/>
          <w:szCs w:val="22"/>
          <w:lang w:val="en-US"/>
        </w:rPr>
      </w:pPr>
      <w:hyperlink w:anchor="_Toc477170911" w:history="1">
        <w:r w:rsidRPr="00233633">
          <w:rPr>
            <w:rStyle w:val="Hyperlink"/>
            <w:noProof/>
          </w:rPr>
          <w:t>Emergency repairs</w:t>
        </w:r>
        <w:r>
          <w:rPr>
            <w:noProof/>
            <w:webHidden/>
          </w:rPr>
          <w:tab/>
        </w:r>
        <w:r>
          <w:rPr>
            <w:noProof/>
            <w:webHidden/>
          </w:rPr>
          <w:fldChar w:fldCharType="begin"/>
        </w:r>
        <w:r>
          <w:rPr>
            <w:noProof/>
            <w:webHidden/>
          </w:rPr>
          <w:instrText xml:space="preserve"> PAGEREF _Toc477170911 \h </w:instrText>
        </w:r>
        <w:r>
          <w:rPr>
            <w:noProof/>
            <w:webHidden/>
          </w:rPr>
        </w:r>
        <w:r>
          <w:rPr>
            <w:noProof/>
            <w:webHidden/>
          </w:rPr>
          <w:fldChar w:fldCharType="separate"/>
        </w:r>
        <w:r w:rsidR="00EB0FC0">
          <w:rPr>
            <w:noProof/>
            <w:webHidden/>
          </w:rPr>
          <w:t>22</w:t>
        </w:r>
        <w:r>
          <w:rPr>
            <w:noProof/>
            <w:webHidden/>
          </w:rPr>
          <w:fldChar w:fldCharType="end"/>
        </w:r>
      </w:hyperlink>
    </w:p>
    <w:p w14:paraId="685FDA59" w14:textId="77777777" w:rsidR="004A1F36" w:rsidRPr="008F6229" w:rsidRDefault="004A1F36">
      <w:pPr>
        <w:pStyle w:val="TOC2"/>
        <w:rPr>
          <w:rFonts w:ascii="Calibri" w:hAnsi="Calibri"/>
          <w:noProof/>
          <w:sz w:val="22"/>
          <w:szCs w:val="22"/>
          <w:lang w:val="en-US"/>
        </w:rPr>
      </w:pPr>
      <w:hyperlink w:anchor="_Toc477170912" w:history="1">
        <w:r w:rsidRPr="00233633">
          <w:rPr>
            <w:rStyle w:val="Hyperlink"/>
            <w:noProof/>
          </w:rPr>
          <w:t>Faults caused by interference or you</w:t>
        </w:r>
        <w:r>
          <w:rPr>
            <w:noProof/>
            <w:webHidden/>
          </w:rPr>
          <w:tab/>
        </w:r>
        <w:r>
          <w:rPr>
            <w:noProof/>
            <w:webHidden/>
          </w:rPr>
          <w:fldChar w:fldCharType="begin"/>
        </w:r>
        <w:r>
          <w:rPr>
            <w:noProof/>
            <w:webHidden/>
          </w:rPr>
          <w:instrText xml:space="preserve"> PAGEREF _Toc477170912 \h </w:instrText>
        </w:r>
        <w:r>
          <w:rPr>
            <w:noProof/>
            <w:webHidden/>
          </w:rPr>
        </w:r>
        <w:r>
          <w:rPr>
            <w:noProof/>
            <w:webHidden/>
          </w:rPr>
          <w:fldChar w:fldCharType="separate"/>
        </w:r>
        <w:r w:rsidR="00EB0FC0">
          <w:rPr>
            <w:noProof/>
            <w:webHidden/>
          </w:rPr>
          <w:t>22</w:t>
        </w:r>
        <w:r>
          <w:rPr>
            <w:noProof/>
            <w:webHidden/>
          </w:rPr>
          <w:fldChar w:fldCharType="end"/>
        </w:r>
      </w:hyperlink>
    </w:p>
    <w:p w14:paraId="40487B33" w14:textId="77777777" w:rsidR="004A1F36" w:rsidRPr="008F6229" w:rsidRDefault="004A1F36">
      <w:pPr>
        <w:pStyle w:val="TOC2"/>
        <w:rPr>
          <w:rFonts w:ascii="Calibri" w:hAnsi="Calibri"/>
          <w:noProof/>
          <w:sz w:val="22"/>
          <w:szCs w:val="22"/>
          <w:lang w:val="en-US"/>
        </w:rPr>
      </w:pPr>
      <w:hyperlink w:anchor="_Toc477170913" w:history="1">
        <w:r w:rsidRPr="00233633">
          <w:rPr>
            <w:rStyle w:val="Hyperlink"/>
            <w:noProof/>
          </w:rPr>
          <w:t>Service appointment times</w:t>
        </w:r>
        <w:r>
          <w:rPr>
            <w:noProof/>
            <w:webHidden/>
          </w:rPr>
          <w:tab/>
        </w:r>
        <w:r>
          <w:rPr>
            <w:noProof/>
            <w:webHidden/>
          </w:rPr>
          <w:fldChar w:fldCharType="begin"/>
        </w:r>
        <w:r>
          <w:rPr>
            <w:noProof/>
            <w:webHidden/>
          </w:rPr>
          <w:instrText xml:space="preserve"> PAGEREF _Toc477170913 \h </w:instrText>
        </w:r>
        <w:r>
          <w:rPr>
            <w:noProof/>
            <w:webHidden/>
          </w:rPr>
        </w:r>
        <w:r>
          <w:rPr>
            <w:noProof/>
            <w:webHidden/>
          </w:rPr>
          <w:fldChar w:fldCharType="separate"/>
        </w:r>
        <w:r w:rsidR="00EB0FC0">
          <w:rPr>
            <w:noProof/>
            <w:webHidden/>
          </w:rPr>
          <w:t>22</w:t>
        </w:r>
        <w:r>
          <w:rPr>
            <w:noProof/>
            <w:webHidden/>
          </w:rPr>
          <w:fldChar w:fldCharType="end"/>
        </w:r>
      </w:hyperlink>
    </w:p>
    <w:p w14:paraId="37AB1876" w14:textId="77777777" w:rsidR="004A1F36" w:rsidRPr="008F6229" w:rsidRDefault="004A1F36">
      <w:pPr>
        <w:pStyle w:val="TOC2"/>
        <w:rPr>
          <w:rFonts w:ascii="Calibri" w:hAnsi="Calibri"/>
          <w:noProof/>
          <w:sz w:val="22"/>
          <w:szCs w:val="22"/>
          <w:lang w:val="en-US"/>
        </w:rPr>
      </w:pPr>
      <w:hyperlink w:anchor="_Toc477170914" w:history="1">
        <w:r w:rsidRPr="00233633">
          <w:rPr>
            <w:rStyle w:val="Hyperlink"/>
            <w:noProof/>
          </w:rPr>
          <w:t>Customer Select Assurance and Maintenance Options</w:t>
        </w:r>
        <w:r>
          <w:rPr>
            <w:noProof/>
            <w:webHidden/>
          </w:rPr>
          <w:tab/>
        </w:r>
        <w:r>
          <w:rPr>
            <w:noProof/>
            <w:webHidden/>
          </w:rPr>
          <w:fldChar w:fldCharType="begin"/>
        </w:r>
        <w:r>
          <w:rPr>
            <w:noProof/>
            <w:webHidden/>
          </w:rPr>
          <w:instrText xml:space="preserve"> PAGEREF _Toc477170914 \h </w:instrText>
        </w:r>
        <w:r>
          <w:rPr>
            <w:noProof/>
            <w:webHidden/>
          </w:rPr>
        </w:r>
        <w:r>
          <w:rPr>
            <w:noProof/>
            <w:webHidden/>
          </w:rPr>
          <w:fldChar w:fldCharType="separate"/>
        </w:r>
        <w:r w:rsidR="00EB0FC0">
          <w:rPr>
            <w:noProof/>
            <w:webHidden/>
          </w:rPr>
          <w:t>22</w:t>
        </w:r>
        <w:r>
          <w:rPr>
            <w:noProof/>
            <w:webHidden/>
          </w:rPr>
          <w:fldChar w:fldCharType="end"/>
        </w:r>
      </w:hyperlink>
    </w:p>
    <w:p w14:paraId="39D644E7" w14:textId="77777777" w:rsidR="004A1F36" w:rsidRPr="008F6229" w:rsidRDefault="004A1F36">
      <w:pPr>
        <w:pStyle w:val="TOC1"/>
        <w:tabs>
          <w:tab w:val="left" w:pos="1474"/>
        </w:tabs>
        <w:rPr>
          <w:rFonts w:ascii="Calibri" w:hAnsi="Calibri"/>
          <w:b w:val="0"/>
          <w:noProof/>
          <w:sz w:val="22"/>
          <w:szCs w:val="22"/>
          <w:lang w:val="en-US"/>
        </w:rPr>
      </w:pPr>
      <w:hyperlink w:anchor="_Toc477170915" w:history="1">
        <w:r w:rsidRPr="00233633">
          <w:rPr>
            <w:rStyle w:val="Hyperlink"/>
            <w:noProof/>
          </w:rPr>
          <w:t>9</w:t>
        </w:r>
        <w:r w:rsidRPr="008F6229">
          <w:rPr>
            <w:rFonts w:ascii="Calibri" w:hAnsi="Calibri"/>
            <w:b w:val="0"/>
            <w:noProof/>
            <w:sz w:val="22"/>
            <w:szCs w:val="22"/>
            <w:lang w:val="en-US"/>
          </w:rPr>
          <w:tab/>
        </w:r>
        <w:r w:rsidRPr="00233633">
          <w:rPr>
            <w:rStyle w:val="Hyperlink"/>
            <w:noProof/>
          </w:rPr>
          <w:t>Other work we do for you</w:t>
        </w:r>
        <w:r>
          <w:rPr>
            <w:noProof/>
            <w:webHidden/>
          </w:rPr>
          <w:tab/>
        </w:r>
        <w:r>
          <w:rPr>
            <w:noProof/>
            <w:webHidden/>
          </w:rPr>
          <w:fldChar w:fldCharType="begin"/>
        </w:r>
        <w:r>
          <w:rPr>
            <w:noProof/>
            <w:webHidden/>
          </w:rPr>
          <w:instrText xml:space="preserve"> PAGEREF _Toc477170915 \h </w:instrText>
        </w:r>
        <w:r>
          <w:rPr>
            <w:noProof/>
            <w:webHidden/>
          </w:rPr>
        </w:r>
        <w:r>
          <w:rPr>
            <w:noProof/>
            <w:webHidden/>
          </w:rPr>
          <w:fldChar w:fldCharType="separate"/>
        </w:r>
        <w:r w:rsidR="00EB0FC0">
          <w:rPr>
            <w:noProof/>
            <w:webHidden/>
          </w:rPr>
          <w:t>23</w:t>
        </w:r>
        <w:r>
          <w:rPr>
            <w:noProof/>
            <w:webHidden/>
          </w:rPr>
          <w:fldChar w:fldCharType="end"/>
        </w:r>
      </w:hyperlink>
    </w:p>
    <w:p w14:paraId="6C1E2A2E" w14:textId="77777777" w:rsidR="004A1F36" w:rsidRPr="008F6229" w:rsidRDefault="004A1F36">
      <w:pPr>
        <w:pStyle w:val="TOC1"/>
        <w:tabs>
          <w:tab w:val="left" w:pos="1474"/>
        </w:tabs>
        <w:rPr>
          <w:rFonts w:ascii="Calibri" w:hAnsi="Calibri"/>
          <w:b w:val="0"/>
          <w:noProof/>
          <w:sz w:val="22"/>
          <w:szCs w:val="22"/>
          <w:lang w:val="en-US"/>
        </w:rPr>
      </w:pPr>
      <w:hyperlink w:anchor="_Toc477170916" w:history="1">
        <w:r w:rsidRPr="00233633">
          <w:rPr>
            <w:rStyle w:val="Hyperlink"/>
            <w:noProof/>
          </w:rPr>
          <w:t>10</w:t>
        </w:r>
        <w:r w:rsidRPr="008F6229">
          <w:rPr>
            <w:rFonts w:ascii="Calibri" w:hAnsi="Calibri"/>
            <w:b w:val="0"/>
            <w:noProof/>
            <w:sz w:val="22"/>
            <w:szCs w:val="22"/>
            <w:lang w:val="en-US"/>
          </w:rPr>
          <w:tab/>
        </w:r>
        <w:r w:rsidRPr="00233633">
          <w:rPr>
            <w:rStyle w:val="Hyperlink"/>
            <w:noProof/>
          </w:rPr>
          <w:t>Charging zones</w:t>
        </w:r>
        <w:r>
          <w:rPr>
            <w:noProof/>
            <w:webHidden/>
          </w:rPr>
          <w:tab/>
        </w:r>
        <w:r>
          <w:rPr>
            <w:noProof/>
            <w:webHidden/>
          </w:rPr>
          <w:fldChar w:fldCharType="begin"/>
        </w:r>
        <w:r>
          <w:rPr>
            <w:noProof/>
            <w:webHidden/>
          </w:rPr>
          <w:instrText xml:space="preserve"> PAGEREF _Toc477170916 \h </w:instrText>
        </w:r>
        <w:r>
          <w:rPr>
            <w:noProof/>
            <w:webHidden/>
          </w:rPr>
        </w:r>
        <w:r>
          <w:rPr>
            <w:noProof/>
            <w:webHidden/>
          </w:rPr>
          <w:fldChar w:fldCharType="separate"/>
        </w:r>
        <w:r w:rsidR="00EB0FC0">
          <w:rPr>
            <w:noProof/>
            <w:webHidden/>
          </w:rPr>
          <w:t>23</w:t>
        </w:r>
        <w:r>
          <w:rPr>
            <w:noProof/>
            <w:webHidden/>
          </w:rPr>
          <w:fldChar w:fldCharType="end"/>
        </w:r>
      </w:hyperlink>
    </w:p>
    <w:p w14:paraId="5C4525DD" w14:textId="77777777" w:rsidR="004A1F36" w:rsidRPr="008F6229" w:rsidRDefault="004A1F36">
      <w:pPr>
        <w:pStyle w:val="TOC2"/>
        <w:rPr>
          <w:rFonts w:ascii="Calibri" w:hAnsi="Calibri"/>
          <w:noProof/>
          <w:sz w:val="22"/>
          <w:szCs w:val="22"/>
          <w:lang w:val="en-US"/>
        </w:rPr>
      </w:pPr>
      <w:hyperlink w:anchor="_Toc477170917" w:history="1">
        <w:r w:rsidRPr="00233633">
          <w:rPr>
            <w:rStyle w:val="Hyperlink"/>
            <w:noProof/>
          </w:rPr>
          <w:t>Central business district zones</w:t>
        </w:r>
        <w:r>
          <w:rPr>
            <w:noProof/>
            <w:webHidden/>
          </w:rPr>
          <w:tab/>
        </w:r>
        <w:r>
          <w:rPr>
            <w:noProof/>
            <w:webHidden/>
          </w:rPr>
          <w:fldChar w:fldCharType="begin"/>
        </w:r>
        <w:r>
          <w:rPr>
            <w:noProof/>
            <w:webHidden/>
          </w:rPr>
          <w:instrText xml:space="preserve"> PAGEREF _Toc477170917 \h </w:instrText>
        </w:r>
        <w:r>
          <w:rPr>
            <w:noProof/>
            <w:webHidden/>
          </w:rPr>
        </w:r>
        <w:r>
          <w:rPr>
            <w:noProof/>
            <w:webHidden/>
          </w:rPr>
          <w:fldChar w:fldCharType="separate"/>
        </w:r>
        <w:r w:rsidR="00EB0FC0">
          <w:rPr>
            <w:noProof/>
            <w:webHidden/>
          </w:rPr>
          <w:t>23</w:t>
        </w:r>
        <w:r>
          <w:rPr>
            <w:noProof/>
            <w:webHidden/>
          </w:rPr>
          <w:fldChar w:fldCharType="end"/>
        </w:r>
      </w:hyperlink>
    </w:p>
    <w:p w14:paraId="63CA7290" w14:textId="77777777" w:rsidR="004A1F36" w:rsidRPr="008F6229" w:rsidRDefault="004A1F36">
      <w:pPr>
        <w:pStyle w:val="TOC2"/>
        <w:rPr>
          <w:rFonts w:ascii="Calibri" w:hAnsi="Calibri"/>
          <w:noProof/>
          <w:sz w:val="22"/>
          <w:szCs w:val="22"/>
          <w:lang w:val="en-US"/>
        </w:rPr>
      </w:pPr>
      <w:hyperlink w:anchor="_Toc477170918" w:history="1">
        <w:r w:rsidRPr="00233633">
          <w:rPr>
            <w:rStyle w:val="Hyperlink"/>
            <w:noProof/>
          </w:rPr>
          <w:t>Business zones</w:t>
        </w:r>
        <w:r>
          <w:rPr>
            <w:noProof/>
            <w:webHidden/>
          </w:rPr>
          <w:tab/>
        </w:r>
        <w:r>
          <w:rPr>
            <w:noProof/>
            <w:webHidden/>
          </w:rPr>
          <w:fldChar w:fldCharType="begin"/>
        </w:r>
        <w:r>
          <w:rPr>
            <w:noProof/>
            <w:webHidden/>
          </w:rPr>
          <w:instrText xml:space="preserve"> PAGEREF _Toc477170918 \h </w:instrText>
        </w:r>
        <w:r>
          <w:rPr>
            <w:noProof/>
            <w:webHidden/>
          </w:rPr>
        </w:r>
        <w:r>
          <w:rPr>
            <w:noProof/>
            <w:webHidden/>
          </w:rPr>
          <w:fldChar w:fldCharType="separate"/>
        </w:r>
        <w:r w:rsidR="00EB0FC0">
          <w:rPr>
            <w:noProof/>
            <w:webHidden/>
          </w:rPr>
          <w:t>24</w:t>
        </w:r>
        <w:r>
          <w:rPr>
            <w:noProof/>
            <w:webHidden/>
          </w:rPr>
          <w:fldChar w:fldCharType="end"/>
        </w:r>
      </w:hyperlink>
    </w:p>
    <w:p w14:paraId="6899F200" w14:textId="77777777" w:rsidR="004A1F36" w:rsidRPr="008F6229" w:rsidRDefault="004A1F36">
      <w:pPr>
        <w:pStyle w:val="TOC2"/>
        <w:rPr>
          <w:rFonts w:ascii="Calibri" w:hAnsi="Calibri"/>
          <w:noProof/>
          <w:sz w:val="22"/>
          <w:szCs w:val="22"/>
          <w:lang w:val="en-US"/>
        </w:rPr>
      </w:pPr>
      <w:hyperlink w:anchor="_Toc477170919" w:history="1">
        <w:r w:rsidRPr="00233633">
          <w:rPr>
            <w:rStyle w:val="Hyperlink"/>
            <w:noProof/>
          </w:rPr>
          <w:t>Metropolitan zones</w:t>
        </w:r>
        <w:r>
          <w:rPr>
            <w:noProof/>
            <w:webHidden/>
          </w:rPr>
          <w:tab/>
        </w:r>
        <w:r>
          <w:rPr>
            <w:noProof/>
            <w:webHidden/>
          </w:rPr>
          <w:fldChar w:fldCharType="begin"/>
        </w:r>
        <w:r>
          <w:rPr>
            <w:noProof/>
            <w:webHidden/>
          </w:rPr>
          <w:instrText xml:space="preserve"> PAGEREF _Toc477170919 \h </w:instrText>
        </w:r>
        <w:r>
          <w:rPr>
            <w:noProof/>
            <w:webHidden/>
          </w:rPr>
        </w:r>
        <w:r>
          <w:rPr>
            <w:noProof/>
            <w:webHidden/>
          </w:rPr>
          <w:fldChar w:fldCharType="separate"/>
        </w:r>
        <w:r w:rsidR="00EB0FC0">
          <w:rPr>
            <w:noProof/>
            <w:webHidden/>
          </w:rPr>
          <w:t>24</w:t>
        </w:r>
        <w:r>
          <w:rPr>
            <w:noProof/>
            <w:webHidden/>
          </w:rPr>
          <w:fldChar w:fldCharType="end"/>
        </w:r>
      </w:hyperlink>
    </w:p>
    <w:p w14:paraId="74E5D538" w14:textId="77777777" w:rsidR="004A1F36" w:rsidRPr="008F6229" w:rsidRDefault="004A1F36">
      <w:pPr>
        <w:pStyle w:val="TOC1"/>
        <w:tabs>
          <w:tab w:val="left" w:pos="1474"/>
        </w:tabs>
        <w:rPr>
          <w:rFonts w:ascii="Calibri" w:hAnsi="Calibri"/>
          <w:b w:val="0"/>
          <w:noProof/>
          <w:sz w:val="22"/>
          <w:szCs w:val="22"/>
          <w:lang w:val="en-US"/>
        </w:rPr>
      </w:pPr>
      <w:hyperlink w:anchor="_Toc477170920" w:history="1">
        <w:r w:rsidRPr="00233633">
          <w:rPr>
            <w:rStyle w:val="Hyperlink"/>
            <w:noProof/>
          </w:rPr>
          <w:t>11</w:t>
        </w:r>
        <w:r w:rsidRPr="008F6229">
          <w:rPr>
            <w:rFonts w:ascii="Calibri" w:hAnsi="Calibri"/>
            <w:b w:val="0"/>
            <w:noProof/>
            <w:sz w:val="22"/>
            <w:szCs w:val="22"/>
            <w:lang w:val="en-US"/>
          </w:rPr>
          <w:tab/>
        </w:r>
        <w:r w:rsidRPr="00233633">
          <w:rPr>
            <w:rStyle w:val="Hyperlink"/>
            <w:noProof/>
          </w:rPr>
          <w:t>Special meanings</w:t>
        </w:r>
        <w:r>
          <w:rPr>
            <w:noProof/>
            <w:webHidden/>
          </w:rPr>
          <w:tab/>
        </w:r>
        <w:r>
          <w:rPr>
            <w:noProof/>
            <w:webHidden/>
          </w:rPr>
          <w:fldChar w:fldCharType="begin"/>
        </w:r>
        <w:r>
          <w:rPr>
            <w:noProof/>
            <w:webHidden/>
          </w:rPr>
          <w:instrText xml:space="preserve"> PAGEREF _Toc477170920 \h </w:instrText>
        </w:r>
        <w:r>
          <w:rPr>
            <w:noProof/>
            <w:webHidden/>
          </w:rPr>
        </w:r>
        <w:r>
          <w:rPr>
            <w:noProof/>
            <w:webHidden/>
          </w:rPr>
          <w:fldChar w:fldCharType="separate"/>
        </w:r>
        <w:r w:rsidR="00EB0FC0">
          <w:rPr>
            <w:noProof/>
            <w:webHidden/>
          </w:rPr>
          <w:t>25</w:t>
        </w:r>
        <w:r>
          <w:rPr>
            <w:noProof/>
            <w:webHidden/>
          </w:rPr>
          <w:fldChar w:fldCharType="end"/>
        </w:r>
      </w:hyperlink>
    </w:p>
    <w:p w14:paraId="3031C2C6" w14:textId="77777777" w:rsidR="00D43DC8" w:rsidRDefault="00D43DC8">
      <w:pPr>
        <w:sectPr w:rsidR="00D43DC8">
          <w:headerReference w:type="default" r:id="rId7"/>
          <w:footerReference w:type="even" r:id="rId8"/>
          <w:footerReference w:type="default" r:id="rId9"/>
          <w:headerReference w:type="first" r:id="rId10"/>
          <w:footerReference w:type="first" r:id="rId11"/>
          <w:pgSz w:w="11907" w:h="16840" w:code="9"/>
          <w:pgMar w:top="1134" w:right="1559" w:bottom="1418" w:left="1843" w:header="425" w:footer="567" w:gutter="0"/>
          <w:cols w:space="720"/>
        </w:sectPr>
      </w:pPr>
      <w:r>
        <w:fldChar w:fldCharType="end"/>
      </w:r>
    </w:p>
    <w:p w14:paraId="000A0278" w14:textId="77777777" w:rsidR="00D05A1F" w:rsidRDefault="00D43DC8">
      <w:pPr>
        <w:spacing w:after="240"/>
        <w:rPr>
          <w:rFonts w:ascii="Arial" w:hAnsi="Arial"/>
          <w:sz w:val="21"/>
        </w:rPr>
      </w:pPr>
      <w:r>
        <w:rPr>
          <w:rFonts w:ascii="Arial" w:hAnsi="Arial"/>
          <w:sz w:val="21"/>
        </w:rPr>
        <w:lastRenderedPageBreak/>
        <w:t xml:space="preserve">Certain words are used with the specific meanings set out </w:t>
      </w:r>
      <w:r>
        <w:rPr>
          <w:rFonts w:ascii="Arial" w:hAnsi="Arial"/>
          <w:sz w:val="21"/>
        </w:rPr>
        <w:fldChar w:fldCharType="begin"/>
      </w:r>
      <w:r>
        <w:rPr>
          <w:rFonts w:ascii="Arial" w:hAnsi="Arial"/>
          <w:sz w:val="21"/>
        </w:rPr>
        <w:instrText xml:space="preserve"> PAGEREF Specialmeanings \p \h </w:instrText>
      </w:r>
      <w:r>
        <w:rPr>
          <w:rFonts w:ascii="Arial" w:hAnsi="Arial"/>
          <w:sz w:val="21"/>
        </w:rPr>
      </w:r>
      <w:r>
        <w:rPr>
          <w:rFonts w:ascii="Arial" w:hAnsi="Arial"/>
          <w:sz w:val="21"/>
        </w:rPr>
        <w:fldChar w:fldCharType="separate"/>
      </w:r>
      <w:r w:rsidR="00EB0FC0">
        <w:rPr>
          <w:rFonts w:ascii="Arial" w:hAnsi="Arial"/>
          <w:noProof/>
          <w:sz w:val="21"/>
        </w:rPr>
        <w:t>on page 25</w:t>
      </w:r>
      <w:r>
        <w:rPr>
          <w:rFonts w:ascii="Arial" w:hAnsi="Arial"/>
          <w:sz w:val="21"/>
        </w:rPr>
        <w:fldChar w:fldCharType="end"/>
      </w:r>
      <w:r>
        <w:rPr>
          <w:rFonts w:ascii="Arial" w:hAnsi="Arial"/>
          <w:sz w:val="21"/>
        </w:rPr>
        <w:t xml:space="preserve"> </w:t>
      </w:r>
      <w:r>
        <w:rPr>
          <w:rFonts w:ascii="Arial" w:hAnsi="Arial" w:cs="Arial"/>
          <w:sz w:val="21"/>
        </w:rPr>
        <w:t xml:space="preserve">and in the </w:t>
      </w:r>
      <w:hyperlink r:id="rId12" w:history="1">
        <w:r>
          <w:rPr>
            <w:rStyle w:val="Hyperlink"/>
            <w:rFonts w:ascii="Arial" w:hAnsi="Arial" w:cs="Arial"/>
            <w:sz w:val="21"/>
          </w:rPr>
          <w:t>General Terms of Our Custom</w:t>
        </w:r>
        <w:r>
          <w:rPr>
            <w:rStyle w:val="Hyperlink"/>
            <w:rFonts w:ascii="Arial" w:hAnsi="Arial" w:cs="Arial"/>
            <w:sz w:val="21"/>
          </w:rPr>
          <w:t>e</w:t>
        </w:r>
        <w:r>
          <w:rPr>
            <w:rStyle w:val="Hyperlink"/>
            <w:rFonts w:ascii="Arial" w:hAnsi="Arial" w:cs="Arial"/>
            <w:sz w:val="21"/>
          </w:rPr>
          <w:t>r Terms</w:t>
        </w:r>
      </w:hyperlink>
      <w:r>
        <w:rPr>
          <w:rFonts w:ascii="Arial" w:hAnsi="Arial"/>
          <w:sz w:val="21"/>
        </w:rPr>
        <w:t>.</w:t>
      </w:r>
    </w:p>
    <w:p w14:paraId="1B0D7596" w14:textId="77777777" w:rsidR="00D43DC8" w:rsidRDefault="00D43DC8">
      <w:pPr>
        <w:pStyle w:val="Heading1"/>
      </w:pPr>
      <w:bookmarkStart w:id="1" w:name="_Toc50544120"/>
      <w:bookmarkStart w:id="2" w:name="_Toc52200888"/>
      <w:bookmarkStart w:id="3" w:name="_Toc58996120"/>
      <w:bookmarkStart w:id="4" w:name="_Toc61254548"/>
      <w:bookmarkStart w:id="5" w:name="_Toc63668359"/>
      <w:bookmarkStart w:id="6" w:name="_Toc66093898"/>
      <w:bookmarkStart w:id="7" w:name="_Toc69101247"/>
      <w:bookmarkStart w:id="8" w:name="_Toc477170868"/>
      <w:r>
        <w:t>About the Ethernet MAN section</w:t>
      </w:r>
      <w:bookmarkEnd w:id="1"/>
      <w:bookmarkEnd w:id="2"/>
      <w:bookmarkEnd w:id="3"/>
      <w:bookmarkEnd w:id="4"/>
      <w:bookmarkEnd w:id="5"/>
      <w:bookmarkEnd w:id="6"/>
      <w:bookmarkEnd w:id="7"/>
      <w:bookmarkEnd w:id="8"/>
    </w:p>
    <w:p w14:paraId="6E64B39D" w14:textId="77777777" w:rsidR="00D43DC8" w:rsidRDefault="00D43DC8">
      <w:pPr>
        <w:pStyle w:val="Indent1"/>
      </w:pPr>
      <w:bookmarkStart w:id="9" w:name="_Toc50544121"/>
      <w:bookmarkStart w:id="10" w:name="_Toc52200889"/>
      <w:bookmarkStart w:id="11" w:name="_Toc58996121"/>
      <w:bookmarkStart w:id="12" w:name="_Toc61254549"/>
      <w:bookmarkStart w:id="13" w:name="_Toc63668360"/>
      <w:bookmarkStart w:id="14" w:name="_Toc66093899"/>
      <w:bookmarkStart w:id="15" w:name="_Toc69101248"/>
      <w:bookmarkStart w:id="16" w:name="_Toc477170869"/>
      <w:r>
        <w:t>Our Customer Term</w:t>
      </w:r>
      <w:bookmarkEnd w:id="9"/>
      <w:bookmarkEnd w:id="10"/>
      <w:bookmarkEnd w:id="11"/>
      <w:bookmarkEnd w:id="12"/>
      <w:bookmarkEnd w:id="13"/>
      <w:r>
        <w:t>s</w:t>
      </w:r>
      <w:bookmarkEnd w:id="14"/>
      <w:bookmarkEnd w:id="15"/>
      <w:bookmarkEnd w:id="16"/>
    </w:p>
    <w:p w14:paraId="284B7763" w14:textId="77777777" w:rsidR="00D43DC8" w:rsidRDefault="00D43DC8">
      <w:pPr>
        <w:pStyle w:val="Heading2"/>
      </w:pPr>
      <w:r>
        <w:t>This is the Ethernet MAN section of Our Customer Terms.</w:t>
      </w:r>
    </w:p>
    <w:p w14:paraId="722FD36C" w14:textId="77777777" w:rsidR="00D43DC8" w:rsidRDefault="00D43DC8">
      <w:pPr>
        <w:pStyle w:val="Heading2"/>
      </w:pPr>
      <w:hyperlink r:id="rId13" w:history="1">
        <w:r>
          <w:rPr>
            <w:rStyle w:val="Hyperlink"/>
          </w:rPr>
          <w:t>The General Terms</w:t>
        </w:r>
        <w:r>
          <w:rPr>
            <w:rStyle w:val="Hyperlink"/>
          </w:rPr>
          <w:t xml:space="preserve"> </w:t>
        </w:r>
        <w:r>
          <w:rPr>
            <w:rStyle w:val="Hyperlink"/>
          </w:rPr>
          <w:t>of Our Customer Terms</w:t>
        </w:r>
      </w:hyperlink>
      <w:r>
        <w:t xml:space="preserve"> apply</w:t>
      </w:r>
      <w:r w:rsidR="00A6196A" w:rsidRPr="00A6196A">
        <w:t xml:space="preserve"> </w:t>
      </w:r>
      <w:r w:rsidR="00A6196A" w:rsidRPr="00632672">
        <w:t>unless you have entered into a separate agreement with us which excludes the General Terms of Our Customer Terms</w:t>
      </w:r>
      <w:r>
        <w:t>.</w:t>
      </w:r>
    </w:p>
    <w:p w14:paraId="2FCEDADC" w14:textId="77777777" w:rsidR="00D43DC8" w:rsidRDefault="00D43DC8">
      <w:pPr>
        <w:pStyle w:val="Indent1"/>
      </w:pPr>
      <w:bookmarkStart w:id="17" w:name="_Toc50544122"/>
      <w:bookmarkStart w:id="18" w:name="_Toc52200890"/>
      <w:bookmarkStart w:id="19" w:name="_Toc58996122"/>
      <w:bookmarkStart w:id="20" w:name="_Toc61254550"/>
      <w:bookmarkStart w:id="21" w:name="_Toc63668361"/>
      <w:bookmarkStart w:id="22" w:name="_Toc66093900"/>
      <w:bookmarkStart w:id="23" w:name="_Toc69101249"/>
      <w:bookmarkStart w:id="24" w:name="_Toc477170870"/>
      <w:r>
        <w:t>Inconsistencies</w:t>
      </w:r>
      <w:bookmarkEnd w:id="17"/>
      <w:bookmarkEnd w:id="18"/>
      <w:bookmarkEnd w:id="19"/>
      <w:bookmarkEnd w:id="20"/>
      <w:bookmarkEnd w:id="21"/>
      <w:bookmarkEnd w:id="22"/>
      <w:bookmarkEnd w:id="23"/>
      <w:bookmarkEnd w:id="24"/>
    </w:p>
    <w:p w14:paraId="2DAEF0E1" w14:textId="77777777" w:rsidR="00D43DC8" w:rsidRDefault="00D43DC8">
      <w:pPr>
        <w:pStyle w:val="Heading2"/>
      </w:pPr>
      <w:r>
        <w:t>If the General Terms of Our Customer Terms are inconsistent with something in the Ethernet MAN section, then the Ethernet MAN section applies instead of the General Terms, to the extent of the inconsistency.</w:t>
      </w:r>
    </w:p>
    <w:p w14:paraId="2B5BC21A" w14:textId="77777777" w:rsidR="00D43DC8" w:rsidRDefault="00D43DC8">
      <w:pPr>
        <w:pStyle w:val="Heading2"/>
      </w:pPr>
      <w:r>
        <w:t>If a provision of the Ethernet MAN section gives us the right to suspend or terminate your service, that right is in addition to our rights to suspend or terminate your service under the General Terms of Our Customer Terms.</w:t>
      </w:r>
    </w:p>
    <w:p w14:paraId="7A323B87" w14:textId="77777777" w:rsidR="007925B7" w:rsidRDefault="007925B7" w:rsidP="007925B7">
      <w:pPr>
        <w:pStyle w:val="Indent1"/>
      </w:pPr>
      <w:bookmarkStart w:id="25" w:name="_Toc477170871"/>
      <w:r>
        <w:t>When this section applies</w:t>
      </w:r>
      <w:bookmarkEnd w:id="25"/>
    </w:p>
    <w:p w14:paraId="7422B34F" w14:textId="77777777" w:rsidR="00097D5A" w:rsidRDefault="007925B7" w:rsidP="00097D5A">
      <w:pPr>
        <w:pStyle w:val="Heading2"/>
      </w:pPr>
      <w:r w:rsidRPr="00824306">
        <w:t xml:space="preserve">This </w:t>
      </w:r>
      <w:r>
        <w:t>section</w:t>
      </w:r>
      <w:r w:rsidRPr="00824306">
        <w:t xml:space="preserve"> applies if you sign</w:t>
      </w:r>
      <w:r>
        <w:t>ed</w:t>
      </w:r>
      <w:r w:rsidRPr="00824306">
        <w:t xml:space="preserve"> up for your IP Networking Service before </w:t>
      </w:r>
      <w:r>
        <w:t>13 August 2013.</w:t>
      </w:r>
    </w:p>
    <w:p w14:paraId="7245D4E8" w14:textId="77777777" w:rsidR="00097D5A" w:rsidRDefault="00097D5A" w:rsidP="00097D5A">
      <w:pPr>
        <w:pStyle w:val="Indent1"/>
      </w:pPr>
      <w:r>
        <w:t>Ethernet MAN</w:t>
      </w:r>
      <w:r w:rsidR="00344C01">
        <w:t xml:space="preserve"> cease sale and</w:t>
      </w:r>
      <w:r>
        <w:t xml:space="preserve"> exit notification</w:t>
      </w:r>
    </w:p>
    <w:p w14:paraId="7C05C82E" w14:textId="77777777" w:rsidR="00717790" w:rsidRDefault="00717790" w:rsidP="00717790">
      <w:pPr>
        <w:pStyle w:val="Heading2"/>
      </w:pPr>
      <w:r>
        <w:t xml:space="preserve">The following cease sale and exit notification only applies to stand-alone Ethernet MAN services and does not apply where Ethernet MAN is used as a last mile access type for other services (such as Telstra Internet Direct). </w:t>
      </w:r>
    </w:p>
    <w:p w14:paraId="04DD8F51" w14:textId="77777777" w:rsidR="00717790" w:rsidRPr="00717790" w:rsidRDefault="00717790" w:rsidP="00717790">
      <w:pPr>
        <w:pStyle w:val="Heading2"/>
      </w:pPr>
      <w:r w:rsidRPr="00717790">
        <w:t>From 28 June 2018, Ethernet MAN is no longer be available for order by new customers.</w:t>
      </w:r>
    </w:p>
    <w:p w14:paraId="42CFBA9E" w14:textId="77777777" w:rsidR="00717790" w:rsidRDefault="00717790" w:rsidP="00717790">
      <w:pPr>
        <w:pStyle w:val="Heading2"/>
      </w:pPr>
      <w:r>
        <w:t xml:space="preserve">From 30 June 2019, customers with existing Ethernet MAN services will no longer be allowed to add new Ethernet MAN services, make external relocations of existing Ethernet MAN services, or recontract existing Ethernet MAN services. </w:t>
      </w:r>
    </w:p>
    <w:p w14:paraId="36370EF9" w14:textId="77777777" w:rsidR="00097D5A" w:rsidRDefault="00717790" w:rsidP="00717790">
      <w:pPr>
        <w:pStyle w:val="Heading2"/>
      </w:pPr>
      <w:r>
        <w:t>From 30 June 2</w:t>
      </w:r>
      <w:r w:rsidR="00177FA1">
        <w:t>021, we will exit Ethernet MAN s</w:t>
      </w:r>
      <w:r>
        <w:t xml:space="preserve">ervice and cancel remaining Ethernet MAN </w:t>
      </w:r>
      <w:r w:rsidR="00177FA1">
        <w:t>s</w:t>
      </w:r>
      <w:r>
        <w:t>ervices.</w:t>
      </w:r>
    </w:p>
    <w:p w14:paraId="79463C8C" w14:textId="77777777" w:rsidR="00D43DC8" w:rsidRDefault="00D43DC8">
      <w:pPr>
        <w:pStyle w:val="Heading1"/>
      </w:pPr>
      <w:bookmarkStart w:id="26" w:name="_Toc364078568"/>
      <w:bookmarkStart w:id="27" w:name="_Toc477170872"/>
      <w:bookmarkEnd w:id="26"/>
      <w:r>
        <w:lastRenderedPageBreak/>
        <w:t>The Ethernet MAN service</w:t>
      </w:r>
      <w:bookmarkEnd w:id="27"/>
    </w:p>
    <w:p w14:paraId="168DBBC0" w14:textId="77777777" w:rsidR="00D43DC8" w:rsidRDefault="00D43DC8">
      <w:pPr>
        <w:pStyle w:val="Indent1"/>
      </w:pPr>
      <w:bookmarkStart w:id="28" w:name="_Toc477170873"/>
      <w:r>
        <w:t>What is Ethernet MAN?</w:t>
      </w:r>
      <w:bookmarkEnd w:id="28"/>
    </w:p>
    <w:p w14:paraId="56687603" w14:textId="77777777" w:rsidR="00D43DC8" w:rsidRDefault="00D43DC8">
      <w:pPr>
        <w:pStyle w:val="Heading2"/>
      </w:pPr>
      <w:r>
        <w:t>Our Ethernet MAN service is a high-speed point-to-point data service.  It supports Layer 2 Ethernet, Fast Ethernet and Gigabit Ethernet (rate limited) transmission of data.  It is suitable for carriage of non-routable protocols.</w:t>
      </w:r>
    </w:p>
    <w:p w14:paraId="008432F3" w14:textId="77777777" w:rsidR="00D43DC8" w:rsidRDefault="00D43DC8">
      <w:pPr>
        <w:pStyle w:val="Heading7"/>
        <w:ind w:left="737"/>
      </w:pPr>
      <w:r>
        <w:rPr>
          <w:b/>
        </w:rPr>
        <w:t xml:space="preserve">MAN </w:t>
      </w:r>
      <w:r>
        <w:t>means metropolitan area network.</w:t>
      </w:r>
    </w:p>
    <w:p w14:paraId="6AA3504B" w14:textId="77777777" w:rsidR="00D43DC8" w:rsidRDefault="00D43DC8">
      <w:pPr>
        <w:pStyle w:val="Heading2"/>
      </w:pPr>
      <w:r>
        <w:t>Ethernet MAN lets data be transmitted between our respective network boundaries at:</w:t>
      </w:r>
    </w:p>
    <w:p w14:paraId="164C3A0C" w14:textId="77777777" w:rsidR="00D43DC8" w:rsidRDefault="00D43DC8">
      <w:pPr>
        <w:pStyle w:val="Heading3"/>
      </w:pPr>
      <w:r>
        <w:t>one of your premises in an urban area; and</w:t>
      </w:r>
    </w:p>
    <w:p w14:paraId="055B936A" w14:textId="77777777" w:rsidR="00D43DC8" w:rsidRDefault="00D43DC8">
      <w:pPr>
        <w:pStyle w:val="Heading3"/>
      </w:pPr>
      <w:r>
        <w:t>another one of your premises in the same local call area and the same urban area.</w:t>
      </w:r>
    </w:p>
    <w:p w14:paraId="2532EDB3" w14:textId="77777777" w:rsidR="00D43DC8" w:rsidRDefault="00D43DC8">
      <w:pPr>
        <w:pStyle w:val="Heading2"/>
      </w:pPr>
      <w:r>
        <w:t xml:space="preserve">Ethernet MAN is only available in an urban area and in the local call areas of </w:t>
      </w:r>
      <w:smartTag w:uri="urn:schemas-microsoft-com:office:smarttags" w:element="City">
        <w:r>
          <w:t>Sydney</w:t>
        </w:r>
      </w:smartTag>
      <w:r>
        <w:t xml:space="preserve">, </w:t>
      </w:r>
      <w:smartTag w:uri="urn:schemas-microsoft-com:office:smarttags" w:element="City">
        <w:r>
          <w:t>Melbourne</w:t>
        </w:r>
      </w:smartTag>
      <w:r>
        <w:t xml:space="preserve">, </w:t>
      </w:r>
      <w:smartTag w:uri="urn:schemas-microsoft-com:office:smarttags" w:element="City">
        <w:r>
          <w:t>Canberra</w:t>
        </w:r>
      </w:smartTag>
      <w:r>
        <w:t xml:space="preserve">, </w:t>
      </w:r>
      <w:smartTag w:uri="urn:schemas-microsoft-com:office:smarttags" w:element="City">
        <w:r>
          <w:t>Brisbane</w:t>
        </w:r>
      </w:smartTag>
      <w:r>
        <w:t xml:space="preserve">, </w:t>
      </w:r>
      <w:smartTag w:uri="urn:schemas-microsoft-com:office:smarttags" w:element="City">
        <w:r>
          <w:t>Adelaide</w:t>
        </w:r>
      </w:smartTag>
      <w:r>
        <w:t xml:space="preserve">, </w:t>
      </w:r>
      <w:smartTag w:uri="urn:schemas-microsoft-com:office:smarttags" w:element="City">
        <w:r>
          <w:t>Perth</w:t>
        </w:r>
      </w:smartTag>
      <w:r>
        <w:t xml:space="preserve">, </w:t>
      </w:r>
      <w:smartTag w:uri="urn:schemas-microsoft-com:office:smarttags" w:element="City">
        <w:r>
          <w:t>Darwin</w:t>
        </w:r>
      </w:smartTag>
      <w:r>
        <w:t xml:space="preserve">, </w:t>
      </w:r>
      <w:smartTag w:uri="urn:schemas-microsoft-com:office:smarttags" w:element="City">
        <w:smartTag w:uri="urn:schemas-microsoft-com:office:smarttags" w:element="place">
          <w:r>
            <w:t>Hobart</w:t>
          </w:r>
        </w:smartTag>
      </w:smartTag>
      <w:r>
        <w:t xml:space="preserve"> and the regional centres that we tell you about.</w:t>
      </w:r>
    </w:p>
    <w:p w14:paraId="2DD5BB9A" w14:textId="77777777" w:rsidR="00D43DC8" w:rsidRDefault="00D43DC8">
      <w:pPr>
        <w:pStyle w:val="Indent1"/>
      </w:pPr>
      <w:bookmarkStart w:id="29" w:name="_Toc477170874"/>
      <w:r>
        <w:t>Service features</w:t>
      </w:r>
      <w:bookmarkEnd w:id="29"/>
    </w:p>
    <w:p w14:paraId="7B8AD909" w14:textId="77777777" w:rsidR="00D43DC8" w:rsidRDefault="00D43DC8">
      <w:pPr>
        <w:pStyle w:val="Heading2"/>
      </w:pPr>
      <w:r>
        <w:t>There are three types of Ethernet MAN:</w:t>
      </w:r>
    </w:p>
    <w:p w14:paraId="18B52329" w14:textId="77777777" w:rsidR="00D43DC8" w:rsidRDefault="00D43DC8">
      <w:pPr>
        <w:pStyle w:val="Heading3"/>
      </w:pPr>
      <w:r>
        <w:t>Ethernet MAN single uplink;</w:t>
      </w:r>
    </w:p>
    <w:p w14:paraId="78129D27" w14:textId="77777777" w:rsidR="00D43DC8" w:rsidRDefault="00D43DC8">
      <w:pPr>
        <w:pStyle w:val="Heading3"/>
      </w:pPr>
      <w:r>
        <w:t>Ethernet MAN dual uplink; and</w:t>
      </w:r>
    </w:p>
    <w:p w14:paraId="7D23E962" w14:textId="77777777" w:rsidR="00D43DC8" w:rsidRDefault="00D43DC8">
      <w:pPr>
        <w:pStyle w:val="Heading3"/>
      </w:pPr>
      <w:r>
        <w:t>Ethernet MAN fully redundant connection.</w:t>
      </w:r>
    </w:p>
    <w:p w14:paraId="65BD5D7E" w14:textId="77777777" w:rsidR="00D43DC8" w:rsidRDefault="00D43DC8">
      <w:pPr>
        <w:pStyle w:val="Heading2"/>
      </w:pPr>
      <w:r>
        <w:t>Ethernet MAN single uplink is comprised of:</w:t>
      </w:r>
    </w:p>
    <w:p w14:paraId="2CB8A595" w14:textId="77777777" w:rsidR="00D43DC8" w:rsidRDefault="00D43DC8">
      <w:pPr>
        <w:pStyle w:val="Heading3"/>
      </w:pPr>
      <w:r>
        <w:t>two ports;</w:t>
      </w:r>
    </w:p>
    <w:p w14:paraId="42B513CE" w14:textId="77777777" w:rsidR="00D43DC8" w:rsidRDefault="00D43DC8">
      <w:pPr>
        <w:pStyle w:val="Heading3"/>
      </w:pPr>
      <w:r>
        <w:t>a switch or network termination unit; and</w:t>
      </w:r>
    </w:p>
    <w:p w14:paraId="37C59509" w14:textId="77777777" w:rsidR="00D43DC8" w:rsidRDefault="00D43DC8">
      <w:pPr>
        <w:pStyle w:val="Heading3"/>
      </w:pPr>
      <w:r>
        <w:t>a single fibre connection that terminates at an exchange.</w:t>
      </w:r>
    </w:p>
    <w:p w14:paraId="31F353E3" w14:textId="77777777" w:rsidR="00D43DC8" w:rsidRDefault="00D43DC8">
      <w:pPr>
        <w:pStyle w:val="Heading2"/>
      </w:pPr>
      <w:r>
        <w:t>Ethernet MAN dual uplink, comprised of:</w:t>
      </w:r>
    </w:p>
    <w:p w14:paraId="5EE5E83B" w14:textId="77777777" w:rsidR="00D43DC8" w:rsidRDefault="00D43DC8">
      <w:pPr>
        <w:pStyle w:val="Heading3"/>
      </w:pPr>
      <w:r>
        <w:t>two ports;</w:t>
      </w:r>
    </w:p>
    <w:p w14:paraId="350B0530" w14:textId="77777777" w:rsidR="00D43DC8" w:rsidRDefault="00D43DC8">
      <w:pPr>
        <w:pStyle w:val="Heading3"/>
      </w:pPr>
      <w:r>
        <w:t>a switch or network termination units; and</w:t>
      </w:r>
    </w:p>
    <w:p w14:paraId="02D2CF8B" w14:textId="77777777" w:rsidR="00D43DC8" w:rsidRDefault="00D43DC8">
      <w:pPr>
        <w:pStyle w:val="Heading3"/>
      </w:pPr>
      <w:r>
        <w:t>two dual fibre connections that terminate at an exchange.</w:t>
      </w:r>
    </w:p>
    <w:p w14:paraId="6C70B773" w14:textId="77777777" w:rsidR="00D43DC8" w:rsidRDefault="00D43DC8">
      <w:pPr>
        <w:pStyle w:val="Heading2"/>
      </w:pPr>
      <w:r>
        <w:t>Ethernet MAN fully redundant connection is comprised of:</w:t>
      </w:r>
    </w:p>
    <w:p w14:paraId="3B3A9A36" w14:textId="77777777" w:rsidR="00D43DC8" w:rsidRDefault="00D43DC8">
      <w:pPr>
        <w:pStyle w:val="Heading3"/>
      </w:pPr>
      <w:r>
        <w:lastRenderedPageBreak/>
        <w:t>three ports;</w:t>
      </w:r>
    </w:p>
    <w:p w14:paraId="523AD585" w14:textId="77777777" w:rsidR="00D43DC8" w:rsidRDefault="00D43DC8">
      <w:pPr>
        <w:pStyle w:val="Heading3"/>
      </w:pPr>
      <w:r>
        <w:t>two switches or network termination units; and</w:t>
      </w:r>
    </w:p>
    <w:p w14:paraId="361E293B" w14:textId="77777777" w:rsidR="00D43DC8" w:rsidRDefault="00D43DC8">
      <w:pPr>
        <w:pStyle w:val="Heading3"/>
      </w:pPr>
      <w:r>
        <w:t>three dual fibre connections (at least two dual fibre connections terminate at different exchanges).</w:t>
      </w:r>
    </w:p>
    <w:p w14:paraId="3E209513" w14:textId="77777777" w:rsidR="00D43DC8" w:rsidRDefault="00D43DC8">
      <w:pPr>
        <w:pStyle w:val="Heading2"/>
      </w:pPr>
      <w:r>
        <w:t>An Ethernet MAN fully redundant connection provides you with a backup connection that can only be used if the primary switch or the connection between the two switches</w:t>
      </w:r>
      <w:r>
        <w:rPr>
          <w:i/>
        </w:rPr>
        <w:t xml:space="preserve"> </w:t>
      </w:r>
      <w:r>
        <w:t>fails.</w:t>
      </w:r>
    </w:p>
    <w:p w14:paraId="0303CF2D" w14:textId="77777777" w:rsidR="00D43DC8" w:rsidRDefault="00D43DC8">
      <w:pPr>
        <w:pStyle w:val="Heading2"/>
      </w:pPr>
      <w:r>
        <w:t>For the Ethernet MAN service we give you:</w:t>
      </w:r>
    </w:p>
    <w:p w14:paraId="442F9996" w14:textId="77777777" w:rsidR="00D43DC8" w:rsidRDefault="00D43DC8">
      <w:pPr>
        <w:pStyle w:val="Heading3"/>
      </w:pPr>
      <w:r>
        <w:rPr>
          <w:lang w:val="en-US"/>
        </w:rPr>
        <w:t xml:space="preserve">two or more </w:t>
      </w:r>
      <w:r>
        <w:t>ports to the service as set out above;</w:t>
      </w:r>
    </w:p>
    <w:p w14:paraId="7123D7B9" w14:textId="77777777" w:rsidR="00D43DC8" w:rsidRDefault="00D43DC8">
      <w:pPr>
        <w:pStyle w:val="Heading3"/>
      </w:pPr>
      <w:r>
        <w:t>connection from our network boundary at your first specified address to the local exchange;</w:t>
      </w:r>
    </w:p>
    <w:p w14:paraId="0717C8F3" w14:textId="77777777" w:rsidR="00D43DC8" w:rsidRDefault="00D43DC8">
      <w:pPr>
        <w:pStyle w:val="Heading3"/>
      </w:pPr>
      <w:r>
        <w:t>connection from our network boundary at your second or subsequent specified address to the local exchange; and</w:t>
      </w:r>
    </w:p>
    <w:p w14:paraId="3684C5C1" w14:textId="77777777" w:rsidR="00D43DC8" w:rsidRDefault="00D43DC8">
      <w:pPr>
        <w:pStyle w:val="Heading3"/>
      </w:pPr>
      <w:r>
        <w:t>connection of the service between the two addresses where a link bandwidth is nominated to connect the two – this is referred to as the link or link service</w:t>
      </w:r>
      <w:r>
        <w:t>.</w:t>
      </w:r>
    </w:p>
    <w:p w14:paraId="1EA34ECA" w14:textId="77777777" w:rsidR="00D43DC8" w:rsidRDefault="00D43DC8">
      <w:pPr>
        <w:pStyle w:val="Indent1"/>
      </w:pPr>
      <w:bookmarkStart w:id="30" w:name="_Toc477170875"/>
      <w:r>
        <w:t>Availability</w:t>
      </w:r>
      <w:bookmarkEnd w:id="30"/>
    </w:p>
    <w:p w14:paraId="7A124E68" w14:textId="77777777" w:rsidR="00D43DC8" w:rsidRDefault="00D43DC8">
      <w:pPr>
        <w:pStyle w:val="Heading2"/>
      </w:pPr>
      <w:r>
        <w:t>The availability of the service may vary depending on a number of factors including:</w:t>
      </w:r>
    </w:p>
    <w:p w14:paraId="2B56E05F" w14:textId="77777777" w:rsidR="00D43DC8" w:rsidRDefault="00D43DC8">
      <w:pPr>
        <w:pStyle w:val="Heading3"/>
      </w:pPr>
      <w:r>
        <w:t>geographic and technical capability of our network and of our delivery systems at the time at which the service is requested and delivered;</w:t>
      </w:r>
    </w:p>
    <w:p w14:paraId="3EEA6844" w14:textId="77777777" w:rsidR="00D43DC8" w:rsidRDefault="00D43DC8">
      <w:pPr>
        <w:pStyle w:val="Heading3"/>
      </w:pPr>
      <w:r>
        <w:t>availability of a suitable network infrastructure at the time at which the service is requested or delivered;</w:t>
      </w:r>
    </w:p>
    <w:p w14:paraId="41AEC4AE" w14:textId="77777777" w:rsidR="00D43DC8" w:rsidRDefault="00D43DC8">
      <w:pPr>
        <w:pStyle w:val="Heading3"/>
      </w:pPr>
      <w:r>
        <w:t>provisioning time for equipment we required to provide the service; and</w:t>
      </w:r>
    </w:p>
    <w:p w14:paraId="68BC2817" w14:textId="77777777" w:rsidR="00D43DC8" w:rsidRDefault="00D43DC8">
      <w:pPr>
        <w:pStyle w:val="Heading3"/>
      </w:pPr>
      <w:r>
        <w:t>your equipment and interfaces.</w:t>
      </w:r>
    </w:p>
    <w:p w14:paraId="155AF53E" w14:textId="77777777" w:rsidR="00D43DC8" w:rsidRDefault="00D43DC8">
      <w:pPr>
        <w:pStyle w:val="Indent1"/>
      </w:pPr>
      <w:bookmarkStart w:id="31" w:name="_Toc477170876"/>
      <w:r>
        <w:t>Minimum term</w:t>
      </w:r>
      <w:bookmarkEnd w:id="31"/>
    </w:p>
    <w:p w14:paraId="5D7EFACD" w14:textId="77777777" w:rsidR="00D43DC8" w:rsidRDefault="00D43DC8">
      <w:pPr>
        <w:pStyle w:val="Heading2"/>
      </w:pPr>
      <w:r>
        <w:t>You have to take Ethernet MAN for at least 12 months</w:t>
      </w:r>
      <w:r w:rsidR="00A6196A">
        <w:t xml:space="preserve"> (“</w:t>
      </w:r>
      <w:r w:rsidR="00C607A6">
        <w:rPr>
          <w:b/>
        </w:rPr>
        <w:t>minimum t</w:t>
      </w:r>
      <w:r w:rsidR="00A6196A" w:rsidRPr="00A6196A">
        <w:rPr>
          <w:b/>
        </w:rPr>
        <w:t>erm</w:t>
      </w:r>
      <w:r w:rsidR="00A6196A">
        <w:t>”)</w:t>
      </w:r>
      <w:r>
        <w:t>.</w:t>
      </w:r>
    </w:p>
    <w:p w14:paraId="6B687BE9" w14:textId="77777777" w:rsidR="00D43DC8" w:rsidRDefault="00D43DC8">
      <w:pPr>
        <w:pStyle w:val="Indent1"/>
      </w:pPr>
      <w:bookmarkStart w:id="32" w:name="_Toc477170877"/>
      <w:r>
        <w:t>Cancelling your service</w:t>
      </w:r>
      <w:bookmarkEnd w:id="32"/>
    </w:p>
    <w:p w14:paraId="22669A00" w14:textId="77777777" w:rsidR="00D43DC8" w:rsidRDefault="00D43DC8">
      <w:pPr>
        <w:pStyle w:val="Heading2"/>
      </w:pPr>
      <w:r>
        <w:t xml:space="preserve">If you order a new link and cancel the order within 15 working days, you must pay all costs incurred by us </w:t>
      </w:r>
      <w:r w:rsidR="00A6196A">
        <w:t>up to the full amount of the connection charge</w:t>
      </w:r>
      <w:r>
        <w:t>.</w:t>
      </w:r>
    </w:p>
    <w:p w14:paraId="552EAB52" w14:textId="77777777" w:rsidR="00D43DC8" w:rsidRDefault="00D43DC8">
      <w:pPr>
        <w:pStyle w:val="Heading2"/>
      </w:pPr>
      <w:r>
        <w:lastRenderedPageBreak/>
        <w:t>If you order a new link and cancel that order after 15 working days, you must pay us the full connection charge.</w:t>
      </w:r>
    </w:p>
    <w:p w14:paraId="7A6F40E7" w14:textId="77777777" w:rsidR="00D43DC8" w:rsidRDefault="00D43DC8">
      <w:pPr>
        <w:pStyle w:val="Heading2"/>
      </w:pPr>
      <w:r>
        <w:t xml:space="preserve">If you cancel a link service before the end of the </w:t>
      </w:r>
      <w:r w:rsidR="00C607A6">
        <w:t>minimum term</w:t>
      </w:r>
      <w:r>
        <w:t xml:space="preserve"> we charge you a cancellation charge.  The cancellation charge is 85% of A × B where:</w:t>
      </w:r>
    </w:p>
    <w:p w14:paraId="1919CF23" w14:textId="77777777" w:rsidR="00D43DC8" w:rsidRDefault="00D43DC8">
      <w:pPr>
        <w:pStyle w:val="Indent2"/>
      </w:pPr>
      <w:r>
        <w:t>A is the monthly access bandwidth charge at the 2 Mbit/s rate plus the monthly port charges; and</w:t>
      </w:r>
    </w:p>
    <w:p w14:paraId="0E2C36E1" w14:textId="77777777" w:rsidR="00D43DC8" w:rsidRDefault="00D43DC8">
      <w:pPr>
        <w:pStyle w:val="Indent2"/>
        <w:rPr>
          <w:b/>
          <w:bCs/>
        </w:rPr>
      </w:pPr>
      <w:r>
        <w:t xml:space="preserve">B is the number of months from the date of cancellation until the end of the </w:t>
      </w:r>
      <w:r w:rsidR="00C607A6">
        <w:t>minimum term</w:t>
      </w:r>
      <w:r>
        <w:t>.</w:t>
      </w:r>
    </w:p>
    <w:p w14:paraId="5141FBF3" w14:textId="77777777" w:rsidR="00D43DC8" w:rsidRDefault="00D43DC8">
      <w:pPr>
        <w:pStyle w:val="Heading2"/>
      </w:pPr>
      <w:r>
        <w:t xml:space="preserve">The cancellation charges above are a </w:t>
      </w:r>
      <w:r w:rsidR="00A6196A">
        <w:t>genuine</w:t>
      </w:r>
      <w:r>
        <w:t xml:space="preserve"> pre-estimate of our loss as a result of early termination.</w:t>
      </w:r>
    </w:p>
    <w:p w14:paraId="6B6B8B8A" w14:textId="77777777" w:rsidR="00D43DC8" w:rsidRDefault="00D43DC8">
      <w:pPr>
        <w:pStyle w:val="Heading2"/>
      </w:pPr>
      <w:r>
        <w:t xml:space="preserve">If you cancel a link service after the end of the </w:t>
      </w:r>
      <w:r w:rsidR="00C607A6">
        <w:t>Minimum term</w:t>
      </w:r>
      <w:r>
        <w:t xml:space="preserve">, you must pay us the proportion of any monthly service charges payable for the link service </w:t>
      </w:r>
      <w:r>
        <w:t>up to the date of cancellation.</w:t>
      </w:r>
    </w:p>
    <w:p w14:paraId="17D52D6A" w14:textId="77777777" w:rsidR="00D43DC8" w:rsidRDefault="00D43DC8">
      <w:pPr>
        <w:pStyle w:val="Indent1"/>
      </w:pPr>
      <w:bookmarkStart w:id="33" w:name="_Toc477170878"/>
      <w:r>
        <w:t>Ports</w:t>
      </w:r>
      <w:bookmarkEnd w:id="33"/>
    </w:p>
    <w:p w14:paraId="683BEDC8" w14:textId="77777777" w:rsidR="00D43DC8" w:rsidRDefault="00D43DC8">
      <w:pPr>
        <w:pStyle w:val="Heading2"/>
      </w:pPr>
      <w:r>
        <w:t xml:space="preserve">A port is dedicated a digital transmission interface.  </w:t>
      </w:r>
    </w:p>
    <w:p w14:paraId="5E1E0D49" w14:textId="77777777" w:rsidR="00D43DC8" w:rsidRDefault="00D43DC8">
      <w:pPr>
        <w:pStyle w:val="Heading2"/>
      </w:pPr>
      <w:r>
        <w:t>Ethernet MAN supports the following physical layer standards for Ethernet (IEEE 802.3) interfaces.  After considering your transmission requirements, you and we agree upon the type of ports to be used from the list below.</w:t>
      </w:r>
    </w:p>
    <w:tbl>
      <w:tblPr>
        <w:tblW w:w="811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6"/>
        <w:gridCol w:w="1955"/>
        <w:gridCol w:w="1520"/>
        <w:gridCol w:w="1585"/>
        <w:gridCol w:w="1495"/>
      </w:tblGrid>
      <w:tr w:rsidR="00D43DC8" w14:paraId="0E9FBD50" w14:textId="77777777">
        <w:tblPrEx>
          <w:tblCellMar>
            <w:top w:w="0" w:type="dxa"/>
            <w:bottom w:w="0" w:type="dxa"/>
          </w:tblCellMar>
        </w:tblPrEx>
        <w:trPr>
          <w:cantSplit/>
          <w:tblHeader/>
        </w:trPr>
        <w:tc>
          <w:tcPr>
            <w:tcW w:w="1556" w:type="dxa"/>
          </w:tcPr>
          <w:p w14:paraId="41F09E7C" w14:textId="77777777" w:rsidR="00D43DC8" w:rsidRDefault="00D43DC8" w:rsidP="00C645DD">
            <w:pPr>
              <w:keepNext/>
              <w:spacing w:before="120" w:after="120"/>
              <w:rPr>
                <w:rFonts w:ascii="Arial" w:hAnsi="Arial" w:cs="Arial"/>
                <w:b/>
                <w:sz w:val="18"/>
              </w:rPr>
            </w:pPr>
            <w:r>
              <w:rPr>
                <w:rFonts w:ascii="Arial" w:hAnsi="Arial" w:cs="Arial"/>
                <w:b/>
                <w:sz w:val="18"/>
              </w:rPr>
              <w:t>Physical layer standard</w:t>
            </w:r>
          </w:p>
        </w:tc>
        <w:tc>
          <w:tcPr>
            <w:tcW w:w="1955" w:type="dxa"/>
          </w:tcPr>
          <w:p w14:paraId="46FCC347" w14:textId="77777777" w:rsidR="00D43DC8" w:rsidRDefault="00D43DC8" w:rsidP="00C645DD">
            <w:pPr>
              <w:keepNext/>
              <w:spacing w:before="120" w:after="120"/>
              <w:rPr>
                <w:rFonts w:ascii="Arial" w:hAnsi="Arial" w:cs="Arial"/>
                <w:b/>
                <w:sz w:val="18"/>
              </w:rPr>
            </w:pPr>
            <w:r>
              <w:rPr>
                <w:rFonts w:ascii="Arial" w:hAnsi="Arial" w:cs="Arial"/>
                <w:b/>
                <w:sz w:val="18"/>
              </w:rPr>
              <w:t>Media</w:t>
            </w:r>
          </w:p>
        </w:tc>
        <w:tc>
          <w:tcPr>
            <w:tcW w:w="1520" w:type="dxa"/>
          </w:tcPr>
          <w:p w14:paraId="69DC5887" w14:textId="77777777" w:rsidR="00D43DC8" w:rsidRDefault="00D43DC8" w:rsidP="00C645DD">
            <w:pPr>
              <w:keepNext/>
              <w:spacing w:before="120" w:after="120"/>
              <w:rPr>
                <w:rFonts w:ascii="Arial" w:hAnsi="Arial" w:cs="Arial"/>
                <w:b/>
                <w:sz w:val="18"/>
              </w:rPr>
            </w:pPr>
            <w:r>
              <w:rPr>
                <w:rFonts w:ascii="Arial" w:hAnsi="Arial" w:cs="Arial"/>
                <w:b/>
                <w:sz w:val="18"/>
              </w:rPr>
              <w:t>Approximate distance (metres)</w:t>
            </w:r>
          </w:p>
        </w:tc>
        <w:tc>
          <w:tcPr>
            <w:tcW w:w="1585" w:type="dxa"/>
          </w:tcPr>
          <w:p w14:paraId="453D15CC" w14:textId="77777777" w:rsidR="00D43DC8" w:rsidRDefault="00D43DC8" w:rsidP="00C645DD">
            <w:pPr>
              <w:keepNext/>
              <w:spacing w:before="120" w:after="120"/>
              <w:rPr>
                <w:rFonts w:ascii="Arial" w:hAnsi="Arial" w:cs="Arial"/>
                <w:b/>
                <w:sz w:val="18"/>
              </w:rPr>
            </w:pPr>
            <w:r>
              <w:rPr>
                <w:rFonts w:ascii="Arial" w:hAnsi="Arial" w:cs="Arial"/>
                <w:b/>
                <w:sz w:val="18"/>
              </w:rPr>
              <w:t>Duplex</w:t>
            </w:r>
          </w:p>
        </w:tc>
        <w:tc>
          <w:tcPr>
            <w:tcW w:w="1495" w:type="dxa"/>
          </w:tcPr>
          <w:p w14:paraId="537A1C62" w14:textId="77777777" w:rsidR="00D43DC8" w:rsidRDefault="00D43DC8" w:rsidP="00C645DD">
            <w:pPr>
              <w:keepNext/>
              <w:spacing w:before="120" w:after="120"/>
              <w:rPr>
                <w:rFonts w:ascii="Arial" w:hAnsi="Arial" w:cs="Arial"/>
                <w:b/>
                <w:sz w:val="18"/>
              </w:rPr>
            </w:pPr>
            <w:r>
              <w:rPr>
                <w:rFonts w:ascii="Arial" w:hAnsi="Arial" w:cs="Arial"/>
                <w:b/>
                <w:sz w:val="18"/>
              </w:rPr>
              <w:t>Interface</w:t>
            </w:r>
          </w:p>
        </w:tc>
      </w:tr>
      <w:tr w:rsidR="00D43DC8" w14:paraId="280F6080" w14:textId="77777777">
        <w:tblPrEx>
          <w:tblCellMar>
            <w:top w:w="0" w:type="dxa"/>
            <w:bottom w:w="0" w:type="dxa"/>
          </w:tblCellMar>
        </w:tblPrEx>
        <w:trPr>
          <w:cantSplit/>
        </w:trPr>
        <w:tc>
          <w:tcPr>
            <w:tcW w:w="1556" w:type="dxa"/>
          </w:tcPr>
          <w:p w14:paraId="212E5425" w14:textId="77777777" w:rsidR="00D43DC8" w:rsidRDefault="00C24810">
            <w:pPr>
              <w:spacing w:before="120" w:after="120"/>
              <w:rPr>
                <w:rFonts w:ascii="Arial" w:hAnsi="Arial" w:cs="Arial"/>
                <w:sz w:val="18"/>
              </w:rPr>
            </w:pPr>
            <w:r>
              <w:rPr>
                <w:rFonts w:ascii="Arial" w:hAnsi="Arial" w:cs="Arial"/>
                <w:sz w:val="18"/>
              </w:rPr>
              <w:t xml:space="preserve">10 </w:t>
            </w:r>
            <w:r w:rsidR="00D43DC8">
              <w:rPr>
                <w:rFonts w:ascii="Arial" w:hAnsi="Arial" w:cs="Arial"/>
                <w:sz w:val="18"/>
              </w:rPr>
              <w:t>Base-Tx</w:t>
            </w:r>
          </w:p>
        </w:tc>
        <w:tc>
          <w:tcPr>
            <w:tcW w:w="1955" w:type="dxa"/>
          </w:tcPr>
          <w:p w14:paraId="095EDE1F" w14:textId="77777777" w:rsidR="00D43DC8" w:rsidRDefault="00D43DC8">
            <w:pPr>
              <w:spacing w:before="120" w:after="120"/>
              <w:rPr>
                <w:rFonts w:ascii="Arial" w:hAnsi="Arial" w:cs="Arial"/>
                <w:sz w:val="18"/>
              </w:rPr>
            </w:pPr>
            <w:r>
              <w:rPr>
                <w:rFonts w:ascii="Arial" w:hAnsi="Arial" w:cs="Arial"/>
                <w:sz w:val="18"/>
              </w:rPr>
              <w:t>Category 3, 4, 5 (Copper)</w:t>
            </w:r>
          </w:p>
        </w:tc>
        <w:tc>
          <w:tcPr>
            <w:tcW w:w="1520" w:type="dxa"/>
          </w:tcPr>
          <w:p w14:paraId="177BF41A" w14:textId="77777777" w:rsidR="00D43DC8" w:rsidRDefault="00D43DC8">
            <w:pPr>
              <w:spacing w:before="120" w:after="120"/>
              <w:rPr>
                <w:rFonts w:ascii="Arial" w:hAnsi="Arial" w:cs="Arial"/>
                <w:sz w:val="18"/>
              </w:rPr>
            </w:pPr>
            <w:r>
              <w:rPr>
                <w:rFonts w:ascii="Arial" w:hAnsi="Arial" w:cs="Arial"/>
                <w:sz w:val="18"/>
              </w:rPr>
              <w:t>100</w:t>
            </w:r>
          </w:p>
        </w:tc>
        <w:tc>
          <w:tcPr>
            <w:tcW w:w="1585" w:type="dxa"/>
          </w:tcPr>
          <w:p w14:paraId="09503CB3" w14:textId="77777777" w:rsidR="00D43DC8" w:rsidRDefault="00D43DC8">
            <w:pPr>
              <w:spacing w:before="120" w:after="120"/>
              <w:rPr>
                <w:rFonts w:ascii="Arial" w:hAnsi="Arial" w:cs="Arial"/>
                <w:sz w:val="18"/>
              </w:rPr>
            </w:pPr>
            <w:r>
              <w:rPr>
                <w:rFonts w:ascii="Arial" w:hAnsi="Arial" w:cs="Arial"/>
                <w:sz w:val="18"/>
              </w:rPr>
              <w:t>Half</w:t>
            </w:r>
          </w:p>
        </w:tc>
        <w:tc>
          <w:tcPr>
            <w:tcW w:w="1495" w:type="dxa"/>
          </w:tcPr>
          <w:p w14:paraId="66355BCB" w14:textId="77777777" w:rsidR="00D43DC8" w:rsidRDefault="00D43DC8">
            <w:pPr>
              <w:spacing w:before="120" w:after="120"/>
              <w:rPr>
                <w:rFonts w:ascii="Arial" w:hAnsi="Arial" w:cs="Arial"/>
                <w:sz w:val="18"/>
              </w:rPr>
            </w:pPr>
            <w:r>
              <w:rPr>
                <w:rFonts w:ascii="Arial" w:hAnsi="Arial" w:cs="Arial"/>
                <w:sz w:val="18"/>
              </w:rPr>
              <w:t>IDC, RJ-45</w:t>
            </w:r>
          </w:p>
        </w:tc>
      </w:tr>
      <w:tr w:rsidR="00D43DC8" w14:paraId="75DD8373" w14:textId="77777777">
        <w:tblPrEx>
          <w:tblCellMar>
            <w:top w:w="0" w:type="dxa"/>
            <w:bottom w:w="0" w:type="dxa"/>
          </w:tblCellMar>
        </w:tblPrEx>
        <w:trPr>
          <w:cantSplit/>
        </w:trPr>
        <w:tc>
          <w:tcPr>
            <w:tcW w:w="1556" w:type="dxa"/>
          </w:tcPr>
          <w:p w14:paraId="70F5DB99" w14:textId="77777777" w:rsidR="00D43DC8" w:rsidRDefault="00D43DC8">
            <w:pPr>
              <w:spacing w:before="120" w:after="120"/>
              <w:rPr>
                <w:rFonts w:ascii="Arial" w:hAnsi="Arial" w:cs="Arial"/>
                <w:sz w:val="18"/>
              </w:rPr>
            </w:pPr>
            <w:r>
              <w:rPr>
                <w:rFonts w:ascii="Arial" w:hAnsi="Arial" w:cs="Arial"/>
                <w:sz w:val="18"/>
              </w:rPr>
              <w:t>100Base-Tx</w:t>
            </w:r>
          </w:p>
        </w:tc>
        <w:tc>
          <w:tcPr>
            <w:tcW w:w="1955" w:type="dxa"/>
          </w:tcPr>
          <w:p w14:paraId="22F67944" w14:textId="77777777" w:rsidR="00D43DC8" w:rsidRDefault="00D43DC8">
            <w:pPr>
              <w:spacing w:before="120" w:after="120"/>
              <w:rPr>
                <w:rFonts w:ascii="Arial" w:hAnsi="Arial" w:cs="Arial"/>
                <w:sz w:val="18"/>
              </w:rPr>
            </w:pPr>
            <w:r>
              <w:rPr>
                <w:rFonts w:ascii="Arial" w:hAnsi="Arial" w:cs="Arial"/>
                <w:sz w:val="18"/>
              </w:rPr>
              <w:t xml:space="preserve">Category 5 </w:t>
            </w:r>
          </w:p>
        </w:tc>
        <w:tc>
          <w:tcPr>
            <w:tcW w:w="1520" w:type="dxa"/>
          </w:tcPr>
          <w:p w14:paraId="6496E2C5" w14:textId="77777777" w:rsidR="00D43DC8" w:rsidRDefault="00D43DC8">
            <w:pPr>
              <w:spacing w:before="120" w:after="120"/>
              <w:rPr>
                <w:rFonts w:ascii="Arial" w:hAnsi="Arial" w:cs="Arial"/>
                <w:sz w:val="18"/>
              </w:rPr>
            </w:pPr>
            <w:r>
              <w:rPr>
                <w:rFonts w:ascii="Arial" w:hAnsi="Arial" w:cs="Arial"/>
                <w:sz w:val="18"/>
              </w:rPr>
              <w:t>100</w:t>
            </w:r>
          </w:p>
        </w:tc>
        <w:tc>
          <w:tcPr>
            <w:tcW w:w="1585" w:type="dxa"/>
          </w:tcPr>
          <w:p w14:paraId="0B867AD5" w14:textId="77777777" w:rsidR="00D43DC8" w:rsidRDefault="00D43DC8">
            <w:pPr>
              <w:spacing w:before="120" w:after="120"/>
              <w:rPr>
                <w:rFonts w:ascii="Arial" w:hAnsi="Arial" w:cs="Arial"/>
                <w:sz w:val="18"/>
              </w:rPr>
            </w:pPr>
            <w:r>
              <w:rPr>
                <w:rFonts w:ascii="Arial" w:hAnsi="Arial" w:cs="Arial"/>
                <w:sz w:val="18"/>
              </w:rPr>
              <w:t>Full/Half</w:t>
            </w:r>
          </w:p>
        </w:tc>
        <w:tc>
          <w:tcPr>
            <w:tcW w:w="1495" w:type="dxa"/>
          </w:tcPr>
          <w:p w14:paraId="4122F9FF" w14:textId="77777777" w:rsidR="00D43DC8" w:rsidRDefault="00D43DC8">
            <w:pPr>
              <w:spacing w:before="120" w:after="120"/>
              <w:rPr>
                <w:rFonts w:ascii="Arial" w:hAnsi="Arial" w:cs="Arial"/>
                <w:sz w:val="18"/>
              </w:rPr>
            </w:pPr>
            <w:r>
              <w:rPr>
                <w:rFonts w:ascii="Arial" w:hAnsi="Arial" w:cs="Arial"/>
                <w:sz w:val="18"/>
              </w:rPr>
              <w:t>IDC, RJ-45</w:t>
            </w:r>
          </w:p>
        </w:tc>
      </w:tr>
      <w:tr w:rsidR="00D43DC8" w14:paraId="46BAC45C" w14:textId="77777777">
        <w:tblPrEx>
          <w:tblCellMar>
            <w:top w:w="0" w:type="dxa"/>
            <w:bottom w:w="0" w:type="dxa"/>
          </w:tblCellMar>
        </w:tblPrEx>
        <w:trPr>
          <w:cantSplit/>
        </w:trPr>
        <w:tc>
          <w:tcPr>
            <w:tcW w:w="1556" w:type="dxa"/>
          </w:tcPr>
          <w:p w14:paraId="4E08CE7C" w14:textId="77777777" w:rsidR="00D43DC8" w:rsidRDefault="00D43DC8">
            <w:pPr>
              <w:spacing w:before="120" w:after="120"/>
              <w:rPr>
                <w:rFonts w:ascii="Arial" w:hAnsi="Arial" w:cs="Arial"/>
                <w:sz w:val="18"/>
              </w:rPr>
            </w:pPr>
            <w:r>
              <w:rPr>
                <w:rFonts w:ascii="Arial" w:hAnsi="Arial" w:cs="Arial"/>
                <w:sz w:val="18"/>
              </w:rPr>
              <w:t>100Base-</w:t>
            </w:r>
            <w:r w:rsidR="00C24810">
              <w:rPr>
                <w:rFonts w:ascii="Arial" w:hAnsi="Arial" w:cs="Arial"/>
                <w:sz w:val="18"/>
              </w:rPr>
              <w:t>F</w:t>
            </w:r>
            <w:r>
              <w:rPr>
                <w:rFonts w:ascii="Arial" w:hAnsi="Arial" w:cs="Arial"/>
                <w:sz w:val="18"/>
              </w:rPr>
              <w:t>x</w:t>
            </w:r>
          </w:p>
        </w:tc>
        <w:tc>
          <w:tcPr>
            <w:tcW w:w="1955" w:type="dxa"/>
          </w:tcPr>
          <w:p w14:paraId="42E640B1" w14:textId="77777777" w:rsidR="00D43DC8" w:rsidRDefault="00D43DC8">
            <w:pPr>
              <w:spacing w:before="120" w:after="120"/>
              <w:rPr>
                <w:rFonts w:ascii="Arial" w:hAnsi="Arial" w:cs="Arial"/>
                <w:sz w:val="18"/>
              </w:rPr>
            </w:pPr>
            <w:r>
              <w:rPr>
                <w:rFonts w:ascii="Arial" w:hAnsi="Arial" w:cs="Arial"/>
                <w:sz w:val="18"/>
              </w:rPr>
              <w:t>62.5</w:t>
            </w:r>
            <w:r>
              <w:rPr>
                <w:rFonts w:ascii="Arial" w:hAnsi="Arial" w:cs="Arial"/>
                <w:sz w:val="18"/>
              </w:rPr>
              <w:sym w:font="Symbol" w:char="F06D"/>
            </w:r>
            <w:r>
              <w:rPr>
                <w:rFonts w:ascii="Arial" w:hAnsi="Arial" w:cs="Arial"/>
                <w:sz w:val="18"/>
              </w:rPr>
              <w:t xml:space="preserve"> Multi-mode fibre (MMOF)</w:t>
            </w:r>
          </w:p>
        </w:tc>
        <w:tc>
          <w:tcPr>
            <w:tcW w:w="1520" w:type="dxa"/>
          </w:tcPr>
          <w:p w14:paraId="164C9162" w14:textId="77777777" w:rsidR="00D43DC8" w:rsidRDefault="00D43DC8">
            <w:pPr>
              <w:spacing w:before="120" w:after="120"/>
              <w:rPr>
                <w:rFonts w:ascii="Arial" w:hAnsi="Arial" w:cs="Arial"/>
                <w:sz w:val="18"/>
              </w:rPr>
            </w:pPr>
            <w:r>
              <w:rPr>
                <w:rFonts w:ascii="Arial" w:hAnsi="Arial" w:cs="Arial"/>
                <w:sz w:val="18"/>
              </w:rPr>
              <w:t>400</w:t>
            </w:r>
          </w:p>
        </w:tc>
        <w:tc>
          <w:tcPr>
            <w:tcW w:w="1585" w:type="dxa"/>
          </w:tcPr>
          <w:p w14:paraId="1272103B" w14:textId="77777777" w:rsidR="00D43DC8" w:rsidRDefault="00D43DC8">
            <w:pPr>
              <w:spacing w:before="120" w:after="120"/>
              <w:rPr>
                <w:rFonts w:ascii="Arial" w:hAnsi="Arial" w:cs="Arial"/>
                <w:sz w:val="18"/>
              </w:rPr>
            </w:pPr>
            <w:r>
              <w:rPr>
                <w:rFonts w:ascii="Arial" w:hAnsi="Arial" w:cs="Arial"/>
                <w:sz w:val="18"/>
              </w:rPr>
              <w:t>Half Duplex</w:t>
            </w:r>
          </w:p>
        </w:tc>
        <w:tc>
          <w:tcPr>
            <w:tcW w:w="1495" w:type="dxa"/>
          </w:tcPr>
          <w:p w14:paraId="3CE560AE" w14:textId="77777777" w:rsidR="00D43DC8" w:rsidRDefault="00D43DC8">
            <w:pPr>
              <w:spacing w:before="120" w:after="120"/>
              <w:rPr>
                <w:rFonts w:ascii="Arial" w:hAnsi="Arial" w:cs="Arial"/>
                <w:sz w:val="18"/>
              </w:rPr>
            </w:pPr>
            <w:r>
              <w:rPr>
                <w:rFonts w:ascii="Arial" w:hAnsi="Arial" w:cs="Arial"/>
                <w:sz w:val="18"/>
              </w:rPr>
              <w:t>SC</w:t>
            </w:r>
          </w:p>
        </w:tc>
      </w:tr>
      <w:tr w:rsidR="00D43DC8" w14:paraId="79058C98" w14:textId="77777777">
        <w:tblPrEx>
          <w:tblCellMar>
            <w:top w:w="0" w:type="dxa"/>
            <w:bottom w:w="0" w:type="dxa"/>
          </w:tblCellMar>
        </w:tblPrEx>
        <w:trPr>
          <w:cantSplit/>
        </w:trPr>
        <w:tc>
          <w:tcPr>
            <w:tcW w:w="1556" w:type="dxa"/>
          </w:tcPr>
          <w:p w14:paraId="060BCC66" w14:textId="77777777" w:rsidR="00D43DC8" w:rsidRDefault="00D43DC8">
            <w:pPr>
              <w:spacing w:before="120" w:after="120"/>
              <w:rPr>
                <w:rFonts w:ascii="Arial" w:hAnsi="Arial" w:cs="Arial"/>
                <w:sz w:val="18"/>
              </w:rPr>
            </w:pPr>
            <w:r>
              <w:rPr>
                <w:rFonts w:ascii="Arial" w:hAnsi="Arial" w:cs="Arial"/>
                <w:sz w:val="18"/>
              </w:rPr>
              <w:t>100Base-</w:t>
            </w:r>
            <w:r w:rsidR="00C24810">
              <w:rPr>
                <w:rFonts w:ascii="Arial" w:hAnsi="Arial" w:cs="Arial"/>
                <w:sz w:val="18"/>
              </w:rPr>
              <w:t>F</w:t>
            </w:r>
            <w:r>
              <w:rPr>
                <w:rFonts w:ascii="Arial" w:hAnsi="Arial" w:cs="Arial"/>
                <w:sz w:val="18"/>
              </w:rPr>
              <w:t>x</w:t>
            </w:r>
          </w:p>
        </w:tc>
        <w:tc>
          <w:tcPr>
            <w:tcW w:w="1955" w:type="dxa"/>
          </w:tcPr>
          <w:p w14:paraId="0DAD29C4" w14:textId="77777777" w:rsidR="00D43DC8" w:rsidRDefault="00D43DC8">
            <w:pPr>
              <w:spacing w:before="120" w:after="120"/>
              <w:rPr>
                <w:rFonts w:ascii="Arial" w:hAnsi="Arial" w:cs="Arial"/>
                <w:sz w:val="18"/>
              </w:rPr>
            </w:pPr>
            <w:r>
              <w:rPr>
                <w:rFonts w:ascii="Arial" w:hAnsi="Arial" w:cs="Arial"/>
                <w:sz w:val="18"/>
              </w:rPr>
              <w:t>62.5</w:t>
            </w:r>
            <w:r>
              <w:rPr>
                <w:rFonts w:ascii="Arial" w:hAnsi="Arial" w:cs="Arial"/>
                <w:sz w:val="18"/>
              </w:rPr>
              <w:sym w:font="Symbol" w:char="F06D"/>
            </w:r>
            <w:r>
              <w:rPr>
                <w:rFonts w:ascii="Arial" w:hAnsi="Arial" w:cs="Arial"/>
                <w:sz w:val="18"/>
              </w:rPr>
              <w:t xml:space="preserve"> Multi-mode fibre (MMOF)</w:t>
            </w:r>
          </w:p>
        </w:tc>
        <w:tc>
          <w:tcPr>
            <w:tcW w:w="1520" w:type="dxa"/>
          </w:tcPr>
          <w:p w14:paraId="47280D55" w14:textId="77777777" w:rsidR="00D43DC8" w:rsidRDefault="00D43DC8">
            <w:pPr>
              <w:spacing w:before="120" w:after="120"/>
              <w:rPr>
                <w:rFonts w:ascii="Arial" w:hAnsi="Arial" w:cs="Arial"/>
                <w:sz w:val="18"/>
              </w:rPr>
            </w:pPr>
            <w:r>
              <w:rPr>
                <w:rFonts w:ascii="Arial" w:hAnsi="Arial" w:cs="Arial"/>
                <w:sz w:val="18"/>
              </w:rPr>
              <w:t>2000</w:t>
            </w:r>
          </w:p>
        </w:tc>
        <w:tc>
          <w:tcPr>
            <w:tcW w:w="1585" w:type="dxa"/>
          </w:tcPr>
          <w:p w14:paraId="66945A81" w14:textId="77777777" w:rsidR="00D43DC8" w:rsidRDefault="00D43DC8">
            <w:pPr>
              <w:spacing w:before="120" w:after="120"/>
              <w:rPr>
                <w:rFonts w:ascii="Arial" w:hAnsi="Arial" w:cs="Arial"/>
                <w:sz w:val="18"/>
              </w:rPr>
            </w:pPr>
            <w:r>
              <w:rPr>
                <w:rFonts w:ascii="Arial" w:hAnsi="Arial" w:cs="Arial"/>
                <w:sz w:val="18"/>
              </w:rPr>
              <w:t>Full Duplex</w:t>
            </w:r>
          </w:p>
        </w:tc>
        <w:tc>
          <w:tcPr>
            <w:tcW w:w="1495" w:type="dxa"/>
          </w:tcPr>
          <w:p w14:paraId="646104E4" w14:textId="77777777" w:rsidR="00D43DC8" w:rsidRDefault="00D43DC8">
            <w:pPr>
              <w:spacing w:before="120" w:after="120"/>
              <w:rPr>
                <w:rFonts w:ascii="Arial" w:hAnsi="Arial" w:cs="Arial"/>
                <w:sz w:val="18"/>
              </w:rPr>
            </w:pPr>
            <w:r>
              <w:rPr>
                <w:rFonts w:ascii="Arial" w:hAnsi="Arial" w:cs="Arial"/>
                <w:sz w:val="18"/>
              </w:rPr>
              <w:t>SC</w:t>
            </w:r>
          </w:p>
        </w:tc>
      </w:tr>
      <w:tr w:rsidR="00D43DC8" w14:paraId="47CD6A08" w14:textId="77777777">
        <w:tblPrEx>
          <w:tblCellMar>
            <w:top w:w="0" w:type="dxa"/>
            <w:bottom w:w="0" w:type="dxa"/>
          </w:tblCellMar>
        </w:tblPrEx>
        <w:trPr>
          <w:cantSplit/>
        </w:trPr>
        <w:tc>
          <w:tcPr>
            <w:tcW w:w="1556" w:type="dxa"/>
          </w:tcPr>
          <w:p w14:paraId="64EFA764" w14:textId="77777777" w:rsidR="00D43DC8" w:rsidRDefault="00D43DC8">
            <w:pPr>
              <w:spacing w:before="120" w:after="120"/>
              <w:rPr>
                <w:rFonts w:ascii="Arial" w:hAnsi="Arial" w:cs="Arial"/>
                <w:sz w:val="18"/>
              </w:rPr>
            </w:pPr>
            <w:r>
              <w:rPr>
                <w:rFonts w:ascii="Arial" w:hAnsi="Arial" w:cs="Arial"/>
                <w:sz w:val="18"/>
              </w:rPr>
              <w:t>1000Base-SX</w:t>
            </w:r>
          </w:p>
        </w:tc>
        <w:tc>
          <w:tcPr>
            <w:tcW w:w="1955" w:type="dxa"/>
          </w:tcPr>
          <w:p w14:paraId="58F5910D" w14:textId="77777777" w:rsidR="00D43DC8" w:rsidRDefault="00D43DC8">
            <w:pPr>
              <w:spacing w:before="120" w:after="120"/>
              <w:rPr>
                <w:rFonts w:ascii="Arial" w:hAnsi="Arial" w:cs="Arial"/>
                <w:sz w:val="18"/>
              </w:rPr>
            </w:pPr>
            <w:r>
              <w:rPr>
                <w:rFonts w:ascii="Arial" w:hAnsi="Arial" w:cs="Arial"/>
                <w:sz w:val="18"/>
              </w:rPr>
              <w:t>62.5</w:t>
            </w:r>
            <w:r>
              <w:rPr>
                <w:rFonts w:ascii="Arial" w:hAnsi="Arial" w:cs="Arial"/>
                <w:sz w:val="18"/>
              </w:rPr>
              <w:sym w:font="Symbol" w:char="F06D"/>
            </w:r>
            <w:r>
              <w:rPr>
                <w:rFonts w:ascii="Arial" w:hAnsi="Arial" w:cs="Arial"/>
                <w:sz w:val="18"/>
              </w:rPr>
              <w:t xml:space="preserve"> Multi-mode fibre (MMOF)</w:t>
            </w:r>
          </w:p>
        </w:tc>
        <w:tc>
          <w:tcPr>
            <w:tcW w:w="1520" w:type="dxa"/>
          </w:tcPr>
          <w:p w14:paraId="5FCA84E0" w14:textId="77777777" w:rsidR="00D43DC8" w:rsidRDefault="00D43DC8">
            <w:pPr>
              <w:spacing w:before="120" w:after="120"/>
              <w:rPr>
                <w:rFonts w:ascii="Arial" w:hAnsi="Arial" w:cs="Arial"/>
                <w:sz w:val="18"/>
              </w:rPr>
            </w:pPr>
            <w:r>
              <w:rPr>
                <w:rFonts w:ascii="Arial" w:hAnsi="Arial" w:cs="Arial"/>
                <w:sz w:val="18"/>
              </w:rPr>
              <w:t>220</w:t>
            </w:r>
          </w:p>
        </w:tc>
        <w:tc>
          <w:tcPr>
            <w:tcW w:w="1585" w:type="dxa"/>
          </w:tcPr>
          <w:p w14:paraId="77586774" w14:textId="77777777" w:rsidR="00D43DC8" w:rsidRDefault="00D43DC8">
            <w:pPr>
              <w:spacing w:before="120" w:after="120"/>
              <w:rPr>
                <w:rFonts w:ascii="Arial" w:hAnsi="Arial" w:cs="Arial"/>
                <w:sz w:val="18"/>
              </w:rPr>
            </w:pPr>
            <w:r>
              <w:rPr>
                <w:rFonts w:ascii="Arial" w:hAnsi="Arial" w:cs="Arial"/>
                <w:sz w:val="18"/>
              </w:rPr>
              <w:t>Full</w:t>
            </w:r>
          </w:p>
        </w:tc>
        <w:tc>
          <w:tcPr>
            <w:tcW w:w="1495" w:type="dxa"/>
          </w:tcPr>
          <w:p w14:paraId="1585C46E" w14:textId="77777777" w:rsidR="00D43DC8" w:rsidRDefault="00D43DC8">
            <w:pPr>
              <w:spacing w:before="120" w:after="120"/>
              <w:rPr>
                <w:rFonts w:ascii="Arial" w:hAnsi="Arial" w:cs="Arial"/>
                <w:sz w:val="18"/>
              </w:rPr>
            </w:pPr>
            <w:r>
              <w:rPr>
                <w:rFonts w:ascii="Arial" w:hAnsi="Arial" w:cs="Arial"/>
                <w:sz w:val="18"/>
              </w:rPr>
              <w:t>SC</w:t>
            </w:r>
          </w:p>
        </w:tc>
      </w:tr>
      <w:tr w:rsidR="00C24810" w:rsidRPr="00632672" w14:paraId="47FECBC6" w14:textId="77777777">
        <w:tblPrEx>
          <w:tblCellMar>
            <w:top w:w="0" w:type="dxa"/>
            <w:bottom w:w="0" w:type="dxa"/>
          </w:tblCellMar>
        </w:tblPrEx>
        <w:trPr>
          <w:cantSplit/>
        </w:trPr>
        <w:tc>
          <w:tcPr>
            <w:tcW w:w="1556" w:type="dxa"/>
          </w:tcPr>
          <w:p w14:paraId="2E6985FB" w14:textId="77777777" w:rsidR="00C24810" w:rsidRPr="00632672" w:rsidRDefault="00C24810" w:rsidP="00C24810">
            <w:pPr>
              <w:spacing w:before="120" w:after="120"/>
              <w:rPr>
                <w:rFonts w:ascii="Arial" w:hAnsi="Arial" w:cs="Arial"/>
                <w:sz w:val="18"/>
              </w:rPr>
            </w:pPr>
            <w:r w:rsidRPr="00632672">
              <w:rPr>
                <w:rFonts w:ascii="Arial" w:hAnsi="Arial" w:cs="Arial"/>
                <w:sz w:val="18"/>
              </w:rPr>
              <w:t xml:space="preserve">1000 Base-LX </w:t>
            </w:r>
          </w:p>
        </w:tc>
        <w:tc>
          <w:tcPr>
            <w:tcW w:w="1955" w:type="dxa"/>
          </w:tcPr>
          <w:p w14:paraId="2145B631" w14:textId="77777777" w:rsidR="00C24810" w:rsidRPr="00632672" w:rsidRDefault="00C24810" w:rsidP="00C24810">
            <w:pPr>
              <w:spacing w:before="120" w:after="120"/>
              <w:rPr>
                <w:rFonts w:ascii="Arial" w:hAnsi="Arial" w:cs="Arial"/>
                <w:sz w:val="18"/>
              </w:rPr>
            </w:pPr>
            <w:r w:rsidRPr="00632672">
              <w:rPr>
                <w:rFonts w:ascii="Arial" w:hAnsi="Arial" w:cs="Arial"/>
                <w:sz w:val="18"/>
              </w:rPr>
              <w:t>62.5</w:t>
            </w:r>
            <w:r w:rsidRPr="00632672">
              <w:rPr>
                <w:rFonts w:ascii="Arial" w:hAnsi="Arial" w:cs="Arial"/>
                <w:sz w:val="18"/>
              </w:rPr>
              <w:sym w:font="Symbol" w:char="F06D"/>
            </w:r>
            <w:r w:rsidRPr="00632672">
              <w:rPr>
                <w:rFonts w:ascii="Arial" w:hAnsi="Arial" w:cs="Arial"/>
                <w:sz w:val="18"/>
              </w:rPr>
              <w:t xml:space="preserve"> Multi-mode fibre (MMOF)</w:t>
            </w:r>
          </w:p>
        </w:tc>
        <w:tc>
          <w:tcPr>
            <w:tcW w:w="1520" w:type="dxa"/>
          </w:tcPr>
          <w:p w14:paraId="0A6B3EA2" w14:textId="77777777" w:rsidR="00C24810" w:rsidRPr="00632672" w:rsidRDefault="00C24810" w:rsidP="00C24810">
            <w:pPr>
              <w:spacing w:before="120" w:after="120"/>
              <w:rPr>
                <w:rFonts w:ascii="Arial" w:hAnsi="Arial" w:cs="Arial"/>
                <w:sz w:val="18"/>
              </w:rPr>
            </w:pPr>
            <w:r w:rsidRPr="00632672">
              <w:rPr>
                <w:rFonts w:ascii="Arial" w:hAnsi="Arial" w:cs="Arial"/>
                <w:sz w:val="18"/>
              </w:rPr>
              <w:t>550</w:t>
            </w:r>
          </w:p>
        </w:tc>
        <w:tc>
          <w:tcPr>
            <w:tcW w:w="1585" w:type="dxa"/>
          </w:tcPr>
          <w:p w14:paraId="4F4E959B" w14:textId="77777777" w:rsidR="00C24810" w:rsidRPr="00632672" w:rsidRDefault="00C24810" w:rsidP="00C24810">
            <w:pPr>
              <w:spacing w:before="120" w:after="120"/>
              <w:rPr>
                <w:rFonts w:ascii="Arial" w:hAnsi="Arial" w:cs="Arial"/>
                <w:sz w:val="18"/>
              </w:rPr>
            </w:pPr>
            <w:r w:rsidRPr="00632672">
              <w:rPr>
                <w:rFonts w:ascii="Arial" w:hAnsi="Arial" w:cs="Arial"/>
                <w:sz w:val="18"/>
              </w:rPr>
              <w:t>Full</w:t>
            </w:r>
          </w:p>
        </w:tc>
        <w:tc>
          <w:tcPr>
            <w:tcW w:w="1495" w:type="dxa"/>
          </w:tcPr>
          <w:p w14:paraId="14CE4376" w14:textId="77777777" w:rsidR="00C24810" w:rsidRPr="00632672" w:rsidRDefault="00C24810" w:rsidP="00C24810">
            <w:pPr>
              <w:spacing w:before="120" w:after="120"/>
              <w:rPr>
                <w:rFonts w:ascii="Arial" w:hAnsi="Arial" w:cs="Arial"/>
                <w:sz w:val="18"/>
              </w:rPr>
            </w:pPr>
            <w:r w:rsidRPr="00632672">
              <w:rPr>
                <w:rFonts w:ascii="Arial" w:hAnsi="Arial" w:cs="Arial"/>
                <w:sz w:val="18"/>
              </w:rPr>
              <w:t>SC</w:t>
            </w:r>
          </w:p>
        </w:tc>
      </w:tr>
    </w:tbl>
    <w:p w14:paraId="14DC56D4" w14:textId="77777777" w:rsidR="00D43DC8" w:rsidRDefault="00D43DC8">
      <w:pPr>
        <w:pStyle w:val="TableData"/>
      </w:pPr>
    </w:p>
    <w:p w14:paraId="63FBCC12" w14:textId="77777777" w:rsidR="00D43DC8" w:rsidRDefault="00D43DC8">
      <w:pPr>
        <w:pStyle w:val="Indent1"/>
      </w:pPr>
      <w:bookmarkStart w:id="34" w:name="_Toc477170879"/>
      <w:r>
        <w:lastRenderedPageBreak/>
        <w:t>Link bandwidth</w:t>
      </w:r>
      <w:bookmarkEnd w:id="34"/>
    </w:p>
    <w:p w14:paraId="4DD0AC33" w14:textId="77777777" w:rsidR="00D43DC8" w:rsidRPr="002C6C50" w:rsidRDefault="00D43DC8">
      <w:pPr>
        <w:pStyle w:val="Heading2"/>
      </w:pPr>
      <w:r>
        <w:rPr>
          <w:lang w:val="en-US"/>
        </w:rPr>
        <w:t xml:space="preserve">You choose the </w:t>
      </w:r>
      <w:r>
        <w:t>link bandwidth (nominal data throughput rate limit) for your service.  The options are available between 2 Mbit/s and 1000 Mbit/s.  The maximum rate carried on a port is limited by the physical line rate of the interface and the subscribed access speed at which the rate will be policed</w:t>
      </w:r>
      <w:r w:rsidRPr="002C6C50">
        <w:t>.</w:t>
      </w:r>
      <w:r w:rsidRPr="002C6C50">
        <w:rPr>
          <w:szCs w:val="23"/>
          <w:lang w:val="en-US"/>
        </w:rPr>
        <w:t xml:space="preserve"> </w:t>
      </w:r>
      <w:r w:rsidR="002C6C50" w:rsidRPr="002C6C50">
        <w:rPr>
          <w:szCs w:val="23"/>
          <w:lang w:val="en-US"/>
        </w:rPr>
        <w:t xml:space="preserve"> </w:t>
      </w:r>
      <w:r w:rsidRPr="002C6C50">
        <w:rPr>
          <w:szCs w:val="23"/>
          <w:lang w:val="en-US"/>
        </w:rPr>
        <w:t xml:space="preserve">The method </w:t>
      </w:r>
      <w:r w:rsidR="0020063C">
        <w:rPr>
          <w:szCs w:val="23"/>
          <w:lang w:val="en-US"/>
        </w:rPr>
        <w:t>we use</w:t>
      </w:r>
      <w:r w:rsidRPr="002C6C50">
        <w:rPr>
          <w:szCs w:val="23"/>
          <w:lang w:val="en-US"/>
        </w:rPr>
        <w:t xml:space="preserve"> to police the subscribed rate or specific services may vary and information on this is available from </w:t>
      </w:r>
      <w:r w:rsidR="002C6C50">
        <w:rPr>
          <w:szCs w:val="23"/>
          <w:lang w:val="en-US"/>
        </w:rPr>
        <w:t>us</w:t>
      </w:r>
      <w:r w:rsidRPr="002C6C50">
        <w:rPr>
          <w:szCs w:val="23"/>
          <w:lang w:val="en-US"/>
        </w:rPr>
        <w:t xml:space="preserve"> upon request.</w:t>
      </w:r>
    </w:p>
    <w:p w14:paraId="596AFC50" w14:textId="77777777" w:rsidR="00F92EB7" w:rsidRPr="00083C34" w:rsidRDefault="00F92EB7" w:rsidP="00F92EB7">
      <w:pPr>
        <w:pStyle w:val="Heading2"/>
      </w:pPr>
      <w:r w:rsidRPr="00A43C8F">
        <w:t xml:space="preserve">Actual throughput will be lower than the access bandwidth for the Ethernet </w:t>
      </w:r>
      <w:r>
        <w:t xml:space="preserve">MAN </w:t>
      </w:r>
      <w:r w:rsidRPr="00A43C8F">
        <w:t xml:space="preserve">access connection. This is due to the transmission protocol which uses a portion of the access bandwidth of the Ethernet </w:t>
      </w:r>
      <w:r>
        <w:t>MAN</w:t>
      </w:r>
      <w:r w:rsidRPr="00A43C8F">
        <w:t xml:space="preserve"> connection to manage the transmission of data.</w:t>
      </w:r>
    </w:p>
    <w:p w14:paraId="785E7674" w14:textId="77777777" w:rsidR="00D43DC8" w:rsidRDefault="00D43DC8" w:rsidP="002C6C50">
      <w:pPr>
        <w:pStyle w:val="Heading2"/>
      </w:pPr>
      <w:r w:rsidRPr="002C6C50">
        <w:rPr>
          <w:lang w:val="en-US"/>
        </w:rPr>
        <w:t xml:space="preserve">For the bandwidth-on-demand </w:t>
      </w:r>
      <w:r w:rsidR="002C6C50">
        <w:rPr>
          <w:lang w:val="en-US"/>
        </w:rPr>
        <w:t>dial feature</w:t>
      </w:r>
      <w:r w:rsidRPr="002C6C50">
        <w:rPr>
          <w:lang w:val="en-US"/>
        </w:rPr>
        <w:t xml:space="preserve"> available </w:t>
      </w:r>
      <w:r w:rsidR="002C6C50">
        <w:rPr>
          <w:lang w:val="en-US"/>
        </w:rPr>
        <w:t>for</w:t>
      </w:r>
      <w:r w:rsidRPr="002C6C50">
        <w:t xml:space="preserve"> Ethernet MAN dual uplink and Ethernet MAN fully redundant connection, </w:t>
      </w:r>
      <w:r w:rsidRPr="002C6C50">
        <w:rPr>
          <w:iCs/>
          <w:lang w:val="en-US"/>
        </w:rPr>
        <w:t>we currently apply VLAN-based Rate-Limiting (</w:t>
      </w:r>
      <w:r w:rsidR="002C6C50">
        <w:rPr>
          <w:iCs/>
          <w:lang w:val="en-US"/>
        </w:rPr>
        <w:t>“</w:t>
      </w:r>
      <w:r w:rsidRPr="002C6C50">
        <w:rPr>
          <w:b/>
          <w:iCs/>
          <w:lang w:val="en-US"/>
        </w:rPr>
        <w:t>VBRL</w:t>
      </w:r>
      <w:r w:rsidR="002C6C50" w:rsidRPr="002C6C50">
        <w:rPr>
          <w:iCs/>
          <w:lang w:val="en-US"/>
        </w:rPr>
        <w:t>”</w:t>
      </w:r>
      <w:r w:rsidRPr="002C6C50">
        <w:rPr>
          <w:iCs/>
          <w:lang w:val="en-US"/>
        </w:rPr>
        <w:t xml:space="preserve">). </w:t>
      </w:r>
      <w:r w:rsidR="002C6C50">
        <w:rPr>
          <w:iCs/>
          <w:lang w:val="en-US"/>
        </w:rPr>
        <w:t xml:space="preserve"> </w:t>
      </w:r>
      <w:r w:rsidRPr="002C6C50">
        <w:rPr>
          <w:iCs/>
          <w:lang w:val="en-US"/>
        </w:rPr>
        <w:t>Under VBRL, we apply traffic-policing (at the subscribed rate) to the sum of the ingress traffic for that service.</w:t>
      </w:r>
      <w:r w:rsidR="002C6C50">
        <w:rPr>
          <w:iCs/>
          <w:lang w:val="en-US"/>
        </w:rPr>
        <w:t xml:space="preserve"> </w:t>
      </w:r>
      <w:r w:rsidRPr="002C6C50">
        <w:rPr>
          <w:iCs/>
          <w:lang w:val="en-US"/>
        </w:rPr>
        <w:t xml:space="preserve"> This policy is applied at the Telstra POP switch</w:t>
      </w:r>
      <w:r w:rsidR="002C6C50">
        <w:rPr>
          <w:iCs/>
          <w:lang w:val="en-US"/>
        </w:rPr>
        <w:t>.</w:t>
      </w:r>
    </w:p>
    <w:p w14:paraId="5AF347D6" w14:textId="77777777" w:rsidR="00D43DC8" w:rsidRDefault="00D43DC8">
      <w:pPr>
        <w:pStyle w:val="Heading2"/>
      </w:pPr>
      <w:r>
        <w:t>For Ethernet MAN single uplink, the link bandwidth is fixed full duplex.</w:t>
      </w:r>
    </w:p>
    <w:p w14:paraId="4217B4C8" w14:textId="77777777" w:rsidR="00D43DC8" w:rsidRDefault="00D43DC8">
      <w:pPr>
        <w:pStyle w:val="Heading1"/>
      </w:pPr>
      <w:bookmarkStart w:id="35" w:name="_Toc477170880"/>
      <w:r>
        <w:t>Connecting an Ethernet MAN service</w:t>
      </w:r>
      <w:bookmarkEnd w:id="35"/>
    </w:p>
    <w:p w14:paraId="227F46E8" w14:textId="77777777" w:rsidR="00D43DC8" w:rsidRDefault="00D43DC8">
      <w:pPr>
        <w:pStyle w:val="Indent1"/>
      </w:pPr>
      <w:bookmarkStart w:id="36" w:name="_Toc477170881"/>
      <w:r>
        <w:t>Provisioning times</w:t>
      </w:r>
      <w:bookmarkEnd w:id="36"/>
    </w:p>
    <w:p w14:paraId="07CFFB7D" w14:textId="77777777" w:rsidR="00D43DC8" w:rsidRDefault="00D43DC8">
      <w:pPr>
        <w:pStyle w:val="Heading2"/>
      </w:pPr>
      <w:r>
        <w:t>We aim to meet our standard provisioning times for your service.  Our target standard provisioning times start on the date that we have received all the information we need from you and end on the completion of provisioning.  The times are expressed in working days (ie Monday – Friday, excluding public holidays).</w:t>
      </w:r>
    </w:p>
    <w:p w14:paraId="50EFAFA5" w14:textId="77777777" w:rsidR="00D43DC8" w:rsidRDefault="00D43DC8">
      <w:pPr>
        <w:pStyle w:val="Heading2"/>
      </w:pPr>
      <w:r>
        <w:t xml:space="preserve">Our standard provisioning times </w:t>
      </w:r>
      <w:r>
        <w:rPr>
          <w:lang w:val="en-US"/>
        </w:rPr>
        <w:t xml:space="preserve">for a link or port provided on existing </w:t>
      </w:r>
      <w:r>
        <w:t xml:space="preserve">Ethernet MAN </w:t>
      </w:r>
      <w:r>
        <w:rPr>
          <w:lang w:val="en-US"/>
        </w:rPr>
        <w:t>infrastructure without the need for construction or fee-for-service work is 4 working days.</w:t>
      </w:r>
    </w:p>
    <w:p w14:paraId="1632207D" w14:textId="77777777" w:rsidR="00D43DC8" w:rsidRDefault="00D43DC8">
      <w:pPr>
        <w:pStyle w:val="Heading7"/>
        <w:ind w:left="737"/>
      </w:pPr>
      <w:r>
        <w:rPr>
          <w:bCs/>
        </w:rPr>
        <w:t xml:space="preserve">Construction </w:t>
      </w:r>
      <w:r>
        <w:t>work refers to the physical build activities that require the attendance of people at your premises, our premises or externally.</w:t>
      </w:r>
    </w:p>
    <w:p w14:paraId="1C152332" w14:textId="77777777" w:rsidR="00D43DC8" w:rsidRDefault="00D05A1F">
      <w:pPr>
        <w:pStyle w:val="Heading7"/>
        <w:ind w:left="737"/>
      </w:pPr>
      <w:r>
        <w:t xml:space="preserve">For information in relation to fee-for-service work see </w:t>
      </w:r>
      <w:hyperlink r:id="rId14" w:history="1">
        <w:r w:rsidRPr="00D05A1F">
          <w:rPr>
            <w:rStyle w:val="Hyperlink"/>
          </w:rPr>
          <w:t>the Fee-for-Service (Other work we do for you)</w:t>
        </w:r>
      </w:hyperlink>
      <w:r>
        <w:t xml:space="preserve"> section of Our Customer Terms</w:t>
      </w:r>
      <w:r w:rsidR="00D43DC8">
        <w:t>.</w:t>
      </w:r>
    </w:p>
    <w:p w14:paraId="71F3E916" w14:textId="77777777" w:rsidR="00D43DC8" w:rsidRDefault="00D43DC8">
      <w:pPr>
        <w:pStyle w:val="Heading2"/>
        <w:rPr>
          <w:lang w:val="en-US"/>
        </w:rPr>
      </w:pPr>
      <w:r>
        <w:rPr>
          <w:lang w:val="en-US"/>
        </w:rPr>
        <w:t xml:space="preserve">For all other cases, our </w:t>
      </w:r>
      <w:r>
        <w:t>provisioning times are based on four categories of orders as follows:</w:t>
      </w:r>
    </w:p>
    <w:tbl>
      <w:tblPr>
        <w:tblW w:w="7938"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103"/>
      </w:tblGrid>
      <w:tr w:rsidR="00D43DC8" w14:paraId="20A6C806" w14:textId="77777777">
        <w:tblPrEx>
          <w:tblCellMar>
            <w:top w:w="0" w:type="dxa"/>
            <w:bottom w:w="0" w:type="dxa"/>
          </w:tblCellMar>
        </w:tblPrEx>
        <w:trPr>
          <w:tblHeader/>
        </w:trPr>
        <w:tc>
          <w:tcPr>
            <w:tcW w:w="2835" w:type="dxa"/>
          </w:tcPr>
          <w:p w14:paraId="3541EC7A" w14:textId="77777777" w:rsidR="00D43DC8" w:rsidRDefault="00D43DC8">
            <w:pPr>
              <w:pStyle w:val="TableData"/>
              <w:keepNext/>
              <w:rPr>
                <w:b/>
                <w:bCs/>
              </w:rPr>
            </w:pPr>
            <w:r>
              <w:rPr>
                <w:b/>
                <w:bCs/>
              </w:rPr>
              <w:lastRenderedPageBreak/>
              <w:t>Category of order</w:t>
            </w:r>
          </w:p>
        </w:tc>
        <w:tc>
          <w:tcPr>
            <w:tcW w:w="5103" w:type="dxa"/>
          </w:tcPr>
          <w:p w14:paraId="3D19C4FC" w14:textId="77777777" w:rsidR="00D43DC8" w:rsidRDefault="00D43DC8">
            <w:pPr>
              <w:pStyle w:val="TableData"/>
              <w:keepNext/>
              <w:rPr>
                <w:b/>
                <w:bCs/>
              </w:rPr>
            </w:pPr>
            <w:r>
              <w:rPr>
                <w:b/>
                <w:bCs/>
              </w:rPr>
              <w:t>Target standard provisioning times</w:t>
            </w:r>
          </w:p>
        </w:tc>
      </w:tr>
      <w:tr w:rsidR="00D43DC8" w14:paraId="695A8130" w14:textId="77777777">
        <w:tblPrEx>
          <w:tblCellMar>
            <w:top w:w="0" w:type="dxa"/>
            <w:bottom w:w="0" w:type="dxa"/>
          </w:tblCellMar>
        </w:tblPrEx>
        <w:tc>
          <w:tcPr>
            <w:tcW w:w="2835" w:type="dxa"/>
          </w:tcPr>
          <w:p w14:paraId="395444CE" w14:textId="77777777" w:rsidR="00D43DC8" w:rsidRDefault="00D43DC8">
            <w:pPr>
              <w:pStyle w:val="TableData"/>
            </w:pPr>
            <w:r>
              <w:t>1 – Basic</w:t>
            </w:r>
          </w:p>
        </w:tc>
        <w:tc>
          <w:tcPr>
            <w:tcW w:w="5103" w:type="dxa"/>
          </w:tcPr>
          <w:p w14:paraId="70E05645" w14:textId="77777777" w:rsidR="00D43DC8" w:rsidRDefault="00D43DC8">
            <w:pPr>
              <w:pStyle w:val="TableData"/>
            </w:pPr>
            <w:r>
              <w:rPr>
                <w:b/>
                <w:bCs/>
              </w:rPr>
              <w:t>9 working days</w:t>
            </w:r>
          </w:p>
        </w:tc>
      </w:tr>
      <w:tr w:rsidR="00D43DC8" w14:paraId="67D1817F" w14:textId="77777777">
        <w:tblPrEx>
          <w:tblCellMar>
            <w:top w:w="0" w:type="dxa"/>
            <w:bottom w:w="0" w:type="dxa"/>
          </w:tblCellMar>
        </w:tblPrEx>
        <w:tc>
          <w:tcPr>
            <w:tcW w:w="2835" w:type="dxa"/>
          </w:tcPr>
          <w:p w14:paraId="501AEC79" w14:textId="77777777" w:rsidR="00D43DC8" w:rsidRDefault="00D43DC8">
            <w:pPr>
              <w:pStyle w:val="TableData"/>
            </w:pPr>
            <w:r>
              <w:t>2 – Minimal</w:t>
            </w:r>
          </w:p>
        </w:tc>
        <w:tc>
          <w:tcPr>
            <w:tcW w:w="5103" w:type="dxa"/>
          </w:tcPr>
          <w:p w14:paraId="33EEB639" w14:textId="77777777" w:rsidR="00D43DC8" w:rsidRDefault="00D43DC8">
            <w:pPr>
              <w:pStyle w:val="TableData"/>
              <w:rPr>
                <w:b/>
                <w:bCs/>
              </w:rPr>
            </w:pPr>
            <w:r>
              <w:rPr>
                <w:b/>
                <w:bCs/>
              </w:rPr>
              <w:t>19 working days</w:t>
            </w:r>
          </w:p>
        </w:tc>
      </w:tr>
      <w:tr w:rsidR="00D43DC8" w14:paraId="0679C593" w14:textId="77777777">
        <w:tblPrEx>
          <w:tblCellMar>
            <w:top w:w="0" w:type="dxa"/>
            <w:bottom w:w="0" w:type="dxa"/>
          </w:tblCellMar>
        </w:tblPrEx>
        <w:tc>
          <w:tcPr>
            <w:tcW w:w="2835" w:type="dxa"/>
          </w:tcPr>
          <w:p w14:paraId="6B61C857" w14:textId="77777777" w:rsidR="00D43DC8" w:rsidRDefault="00D43DC8">
            <w:pPr>
              <w:pStyle w:val="TableData"/>
            </w:pPr>
            <w:r>
              <w:t xml:space="preserve">3 – Medium </w:t>
            </w:r>
          </w:p>
        </w:tc>
        <w:tc>
          <w:tcPr>
            <w:tcW w:w="5103" w:type="dxa"/>
          </w:tcPr>
          <w:p w14:paraId="214F9E54" w14:textId="77777777" w:rsidR="00D43DC8" w:rsidRDefault="00D43DC8">
            <w:pPr>
              <w:pStyle w:val="TableData"/>
            </w:pPr>
            <w:r>
              <w:rPr>
                <w:b/>
                <w:bCs/>
              </w:rPr>
              <w:t>24 working days</w:t>
            </w:r>
          </w:p>
        </w:tc>
      </w:tr>
      <w:tr w:rsidR="00D43DC8" w14:paraId="344055F5" w14:textId="77777777">
        <w:tblPrEx>
          <w:tblCellMar>
            <w:top w:w="0" w:type="dxa"/>
            <w:bottom w:w="0" w:type="dxa"/>
          </w:tblCellMar>
        </w:tblPrEx>
        <w:tc>
          <w:tcPr>
            <w:tcW w:w="2835" w:type="dxa"/>
          </w:tcPr>
          <w:p w14:paraId="089D4FB4" w14:textId="77777777" w:rsidR="00D43DC8" w:rsidRDefault="00D43DC8">
            <w:pPr>
              <w:pStyle w:val="TableData"/>
            </w:pPr>
            <w:r>
              <w:t>4 – Extensive</w:t>
            </w:r>
          </w:p>
        </w:tc>
        <w:tc>
          <w:tcPr>
            <w:tcW w:w="5103" w:type="dxa"/>
          </w:tcPr>
          <w:p w14:paraId="160761D1" w14:textId="77777777" w:rsidR="00D43DC8" w:rsidRDefault="00D43DC8">
            <w:pPr>
              <w:pStyle w:val="TableData"/>
              <w:rPr>
                <w:b/>
                <w:bCs/>
              </w:rPr>
            </w:pPr>
            <w:r>
              <w:rPr>
                <w:b/>
                <w:bCs/>
              </w:rPr>
              <w:t>A provisioning assessment is made on a case-by-case basis.</w:t>
            </w:r>
          </w:p>
        </w:tc>
      </w:tr>
    </w:tbl>
    <w:p w14:paraId="232E7956" w14:textId="77777777" w:rsidR="00D43DC8" w:rsidRDefault="00D43DC8">
      <w:pPr>
        <w:pStyle w:val="TableData"/>
        <w:ind w:left="737"/>
      </w:pPr>
    </w:p>
    <w:p w14:paraId="48F1B035" w14:textId="77777777" w:rsidR="00D43DC8" w:rsidRDefault="00D43DC8">
      <w:pPr>
        <w:spacing w:after="240"/>
        <w:ind w:left="737"/>
        <w:rPr>
          <w:rFonts w:ascii="Arial" w:hAnsi="Arial" w:cs="Arial"/>
          <w:sz w:val="18"/>
        </w:rPr>
      </w:pPr>
      <w:r>
        <w:rPr>
          <w:rFonts w:ascii="Arial" w:hAnsi="Arial" w:cs="Arial"/>
          <w:b/>
          <w:sz w:val="18"/>
        </w:rPr>
        <w:t>Category 1 – basic</w:t>
      </w:r>
      <w:r>
        <w:rPr>
          <w:rFonts w:ascii="Arial" w:hAnsi="Arial" w:cs="Arial"/>
          <w:bCs/>
          <w:sz w:val="18"/>
        </w:rPr>
        <w:t>: o</w:t>
      </w:r>
      <w:r>
        <w:rPr>
          <w:rFonts w:ascii="Arial" w:hAnsi="Arial" w:cs="Arial"/>
          <w:sz w:val="18"/>
        </w:rPr>
        <w:t>rders that do not need any external work before installation.</w:t>
      </w:r>
    </w:p>
    <w:p w14:paraId="7B01C488" w14:textId="77777777" w:rsidR="00D43DC8" w:rsidRDefault="00D43DC8">
      <w:pPr>
        <w:pStyle w:val="Heading7"/>
        <w:ind w:left="737"/>
      </w:pPr>
      <w:r>
        <w:t>These orders may need minor internal plant work at our exchange, or minor internal plant work at your site that we can perform at the same time as the site visit.</w:t>
      </w:r>
    </w:p>
    <w:p w14:paraId="0DDD8919" w14:textId="77777777" w:rsidR="00D43DC8" w:rsidRDefault="00D43DC8">
      <w:pPr>
        <w:spacing w:after="240"/>
        <w:ind w:left="737"/>
        <w:rPr>
          <w:rFonts w:ascii="Arial" w:hAnsi="Arial" w:cs="Arial"/>
          <w:sz w:val="18"/>
        </w:rPr>
      </w:pPr>
      <w:r>
        <w:rPr>
          <w:rFonts w:ascii="Arial" w:hAnsi="Arial" w:cs="Arial"/>
          <w:b/>
          <w:sz w:val="18"/>
        </w:rPr>
        <w:t>Category 2 – minimal:</w:t>
      </w:r>
      <w:r>
        <w:rPr>
          <w:rFonts w:ascii="Arial" w:hAnsi="Arial" w:cs="Arial"/>
          <w:bCs/>
          <w:sz w:val="18"/>
        </w:rPr>
        <w:t xml:space="preserve"> </w:t>
      </w:r>
      <w:r>
        <w:rPr>
          <w:rFonts w:ascii="Arial" w:hAnsi="Arial" w:cs="Arial"/>
          <w:sz w:val="18"/>
        </w:rPr>
        <w:t>orders that need external transmission plant installation work (including the installation of up to 500 metres of cable), substantial internal plant work, or substantial fee-for-service work.</w:t>
      </w:r>
    </w:p>
    <w:p w14:paraId="06E148F2" w14:textId="77777777" w:rsidR="00D43DC8" w:rsidRDefault="00D43DC8">
      <w:pPr>
        <w:spacing w:after="240"/>
        <w:ind w:left="737"/>
        <w:rPr>
          <w:rFonts w:ascii="Arial" w:hAnsi="Arial" w:cs="Arial"/>
          <w:b/>
          <w:bCs/>
          <w:sz w:val="18"/>
          <w:highlight w:val="yellow"/>
        </w:rPr>
      </w:pPr>
      <w:r>
        <w:rPr>
          <w:rFonts w:ascii="Arial" w:hAnsi="Arial" w:cs="Arial"/>
          <w:b/>
          <w:sz w:val="18"/>
        </w:rPr>
        <w:t>Category 3 – medium</w:t>
      </w:r>
      <w:r>
        <w:rPr>
          <w:rFonts w:ascii="Arial" w:hAnsi="Arial" w:cs="Arial"/>
          <w:bCs/>
          <w:sz w:val="18"/>
        </w:rPr>
        <w:t>:</w:t>
      </w:r>
      <w:r>
        <w:rPr>
          <w:rFonts w:ascii="Arial" w:hAnsi="Arial" w:cs="Arial"/>
          <w:sz w:val="18"/>
        </w:rPr>
        <w:t xml:space="preserve"> orders that need us to seek the consent of someone other than you before starting street work, depending on the location of your end or the exchange end of the service.  </w:t>
      </w:r>
    </w:p>
    <w:p w14:paraId="0BB81C9F" w14:textId="77777777" w:rsidR="00D43DC8" w:rsidRDefault="00D43DC8">
      <w:pPr>
        <w:pStyle w:val="Heading7"/>
        <w:ind w:left="737"/>
        <w:rPr>
          <w:lang w:val="en-US"/>
        </w:rPr>
      </w:pPr>
      <w:r>
        <w:rPr>
          <w:b/>
          <w:bCs/>
        </w:rPr>
        <w:t>Category 4 – extensive</w:t>
      </w:r>
      <w:r>
        <w:t xml:space="preserve">: orders that need major construction activity.  </w:t>
      </w:r>
    </w:p>
    <w:p w14:paraId="312EB5C9" w14:textId="77777777" w:rsidR="00D43DC8" w:rsidRDefault="00D43DC8">
      <w:pPr>
        <w:pStyle w:val="Indent1"/>
      </w:pPr>
      <w:bookmarkStart w:id="37" w:name="_Toc477170882"/>
      <w:r>
        <w:t>Cabling and data terminal equipment</w:t>
      </w:r>
      <w:bookmarkEnd w:id="37"/>
    </w:p>
    <w:p w14:paraId="6800B86F" w14:textId="77777777" w:rsidR="00D43DC8" w:rsidRDefault="00D43DC8">
      <w:pPr>
        <w:pStyle w:val="Heading2"/>
      </w:pPr>
      <w:r>
        <w:t>You must provide the cable to connect the service from our network boundary to your equipment.</w:t>
      </w:r>
    </w:p>
    <w:p w14:paraId="7EB0610C" w14:textId="77777777" w:rsidR="00D43DC8" w:rsidRDefault="00D43DC8">
      <w:pPr>
        <w:pStyle w:val="Heading2"/>
      </w:pPr>
      <w:r>
        <w:t xml:space="preserve">You must use equipment which complies with all relevant Australian Communications </w:t>
      </w:r>
      <w:r w:rsidR="0006225A">
        <w:t xml:space="preserve">&amp; Media </w:t>
      </w:r>
      <w:r>
        <w:t>Authority technical requirements for connection to a public switched data service.</w:t>
      </w:r>
    </w:p>
    <w:p w14:paraId="4F880AAF" w14:textId="77777777" w:rsidR="00D43DC8" w:rsidRDefault="00D43DC8">
      <w:pPr>
        <w:pStyle w:val="Heading2"/>
      </w:pPr>
      <w:r>
        <w:t>We only connect your existing cabling at your premises to the service if:</w:t>
      </w:r>
    </w:p>
    <w:p w14:paraId="310EC932" w14:textId="77777777" w:rsidR="00D43DC8" w:rsidRDefault="00D43DC8">
      <w:pPr>
        <w:pStyle w:val="Heading3"/>
      </w:pPr>
      <w:r>
        <w:t>it has been installed by a registered cabling service provider; and</w:t>
      </w:r>
    </w:p>
    <w:p w14:paraId="1F49530A" w14:textId="77777777" w:rsidR="00D43DC8" w:rsidRDefault="00D43DC8">
      <w:pPr>
        <w:pStyle w:val="Heading3"/>
      </w:pPr>
      <w:r>
        <w:t xml:space="preserve">it has been installed to and continues to meet minimum technical requirements determined by the Australian Communications </w:t>
      </w:r>
      <w:r w:rsidR="00220D31">
        <w:t xml:space="preserve">&amp; Media </w:t>
      </w:r>
      <w:r>
        <w:t>Authority.</w:t>
      </w:r>
    </w:p>
    <w:p w14:paraId="5B03723C" w14:textId="77777777" w:rsidR="00D43DC8" w:rsidRDefault="00D43DC8">
      <w:pPr>
        <w:pStyle w:val="Heading2"/>
      </w:pPr>
      <w:r>
        <w:t>You can connect data terminal equipment to the service if the equipment supplier complies with the Australian Communications</w:t>
      </w:r>
      <w:r w:rsidR="00220D31">
        <w:t>&amp; Media</w:t>
      </w:r>
      <w:r>
        <w:t xml:space="preserve"> Authority’s data terminal equipment permit requirements.</w:t>
      </w:r>
    </w:p>
    <w:p w14:paraId="2E424C34" w14:textId="77777777" w:rsidR="00D43DC8" w:rsidRDefault="00D43DC8">
      <w:pPr>
        <w:pStyle w:val="Heading2"/>
      </w:pPr>
      <w:r>
        <w:t xml:space="preserve">You must tell us of the data terminal equipment configuration so that we can set up the service with compatible configurations throughout the network.  If you do not tell us of the correct configuration, you </w:t>
      </w:r>
      <w:r w:rsidR="00C24810">
        <w:t xml:space="preserve">must pay </w:t>
      </w:r>
      <w:r>
        <w:t xml:space="preserve">us for any expenses we incur </w:t>
      </w:r>
      <w:r>
        <w:lastRenderedPageBreak/>
        <w:t xml:space="preserve">relating the identification of the fault and reconfiguring the service.  We </w:t>
      </w:r>
      <w:r>
        <w:t>charge these expenses at the fee-for-service charges (</w:t>
      </w:r>
      <w:r w:rsidR="00D05A1F">
        <w:t xml:space="preserve">see the </w:t>
      </w:r>
      <w:hyperlink r:id="rId15" w:history="1">
        <w:r w:rsidR="00D05A1F" w:rsidRPr="00D05A1F">
          <w:rPr>
            <w:rStyle w:val="Hyperlink"/>
          </w:rPr>
          <w:t>Fee-for-Service (Other work we do for you)</w:t>
        </w:r>
      </w:hyperlink>
      <w:r w:rsidR="00D05A1F">
        <w:t xml:space="preserve"> section of Our Customer Terms)</w:t>
      </w:r>
      <w:r>
        <w:t>.</w:t>
      </w:r>
    </w:p>
    <w:p w14:paraId="407229A7" w14:textId="77777777" w:rsidR="00D43DC8" w:rsidRDefault="00D43DC8">
      <w:pPr>
        <w:pStyle w:val="Heading2"/>
      </w:pPr>
      <w:r>
        <w:t>At your cost, you must give us all reasonable assistance and take all safety precautions reasonably necessary to ensure the safe and proper performance by us of work at your premises.</w:t>
      </w:r>
    </w:p>
    <w:p w14:paraId="76B4BF6F" w14:textId="77777777" w:rsidR="00D43DC8" w:rsidRDefault="00D43DC8">
      <w:pPr>
        <w:pStyle w:val="Indent1"/>
      </w:pPr>
      <w:bookmarkStart w:id="38" w:name="_Toc477170883"/>
      <w:r>
        <w:t>Your liability to us</w:t>
      </w:r>
      <w:bookmarkEnd w:id="38"/>
    </w:p>
    <w:p w14:paraId="0F210861" w14:textId="77777777" w:rsidR="00D43DC8" w:rsidRDefault="00D43DC8">
      <w:pPr>
        <w:pStyle w:val="Heading2"/>
      </w:pPr>
      <w:r>
        <w:t>You must pay us any costs and expenses we incur in replacing or repairing our plant, equipment or other property that is damaged or destroyed at any time as a result of:</w:t>
      </w:r>
    </w:p>
    <w:p w14:paraId="014B18E1" w14:textId="77777777" w:rsidR="00D43DC8" w:rsidRDefault="00D43DC8">
      <w:pPr>
        <w:pStyle w:val="Heading3"/>
      </w:pPr>
      <w:r>
        <w:t>connecting data terminal equipment to our network; or</w:t>
      </w:r>
    </w:p>
    <w:p w14:paraId="39062696" w14:textId="77777777" w:rsidR="00D43DC8" w:rsidRDefault="00D43DC8">
      <w:pPr>
        <w:pStyle w:val="Heading3"/>
      </w:pPr>
      <w:r>
        <w:t>any change to the data terminal equipment or interference by it with any of our property.</w:t>
      </w:r>
    </w:p>
    <w:p w14:paraId="3C0320D6" w14:textId="77777777" w:rsidR="00D43DC8" w:rsidRDefault="00D43DC8">
      <w:pPr>
        <w:pStyle w:val="Indent1"/>
      </w:pPr>
      <w:bookmarkStart w:id="39" w:name="_Toc70481585"/>
      <w:bookmarkStart w:id="40" w:name="_Toc477170884"/>
      <w:r>
        <w:t>Connection charges – single uplink</w:t>
      </w:r>
      <w:bookmarkEnd w:id="40"/>
    </w:p>
    <w:p w14:paraId="5F0F769A" w14:textId="77777777" w:rsidR="00D43DC8" w:rsidRDefault="00D43DC8">
      <w:pPr>
        <w:pStyle w:val="Heading2"/>
      </w:pPr>
      <w:r>
        <w:t>We charge you the following for connecting a new Ethernet MAN single uplink.  This charge covers connection to our network and connection of your property (ie, installing and testing cabling from the building entry point to the network boundary</w:t>
      </w:r>
      <w:r>
        <w:rPr>
          <w:iCs/>
        </w:rPr>
        <w:t>).</w:t>
      </w:r>
    </w:p>
    <w:tbl>
      <w:tblPr>
        <w:tblW w:w="5954" w:type="dxa"/>
        <w:tblInd w:w="7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536"/>
        <w:gridCol w:w="1418"/>
      </w:tblGrid>
      <w:tr w:rsidR="00D43DC8" w14:paraId="42DEA4D0" w14:textId="77777777">
        <w:tblPrEx>
          <w:tblCellMar>
            <w:top w:w="0" w:type="dxa"/>
            <w:bottom w:w="0" w:type="dxa"/>
          </w:tblCellMar>
        </w:tblPrEx>
        <w:trPr>
          <w:trHeight w:val="247"/>
          <w:tblHeader/>
        </w:trPr>
        <w:tc>
          <w:tcPr>
            <w:tcW w:w="4536" w:type="dxa"/>
          </w:tcPr>
          <w:p w14:paraId="6F45C902" w14:textId="77777777" w:rsidR="00D43DC8" w:rsidRDefault="00D43DC8" w:rsidP="00C645DD">
            <w:pPr>
              <w:keepNext/>
              <w:spacing w:before="120" w:after="120"/>
              <w:ind w:left="68"/>
              <w:rPr>
                <w:rFonts w:ascii="Arial" w:hAnsi="Arial" w:cs="Arial"/>
                <w:b/>
                <w:bCs/>
                <w:snapToGrid w:val="0"/>
                <w:sz w:val="18"/>
              </w:rPr>
            </w:pPr>
            <w:r>
              <w:rPr>
                <w:rFonts w:ascii="Arial" w:hAnsi="Arial" w:cs="Arial"/>
                <w:b/>
                <w:bCs/>
                <w:snapToGrid w:val="0"/>
                <w:sz w:val="18"/>
              </w:rPr>
              <w:t>Connection charges – Ethernet MAN single uplink</w:t>
            </w:r>
          </w:p>
        </w:tc>
        <w:tc>
          <w:tcPr>
            <w:tcW w:w="1418" w:type="dxa"/>
          </w:tcPr>
          <w:p w14:paraId="633D547A" w14:textId="77777777" w:rsidR="00D43DC8" w:rsidRDefault="00D43DC8" w:rsidP="00C645DD">
            <w:pPr>
              <w:keepNext/>
              <w:spacing w:before="120" w:after="120"/>
              <w:ind w:right="76" w:firstLine="132"/>
              <w:rPr>
                <w:rFonts w:cs="Arial"/>
                <w:b/>
                <w:bCs/>
                <w:snapToGrid w:val="0"/>
              </w:rPr>
            </w:pPr>
            <w:r>
              <w:rPr>
                <w:rFonts w:ascii="Arial" w:hAnsi="Arial" w:cs="Arial"/>
                <w:b/>
                <w:snapToGrid w:val="0"/>
                <w:sz w:val="18"/>
              </w:rPr>
              <w:t>GST excl.</w:t>
            </w:r>
          </w:p>
        </w:tc>
      </w:tr>
      <w:tr w:rsidR="00D43DC8" w14:paraId="3AC3DED4" w14:textId="77777777">
        <w:tblPrEx>
          <w:tblCellMar>
            <w:top w:w="0" w:type="dxa"/>
            <w:bottom w:w="0" w:type="dxa"/>
          </w:tblCellMar>
        </w:tblPrEx>
        <w:trPr>
          <w:trHeight w:val="247"/>
        </w:trPr>
        <w:tc>
          <w:tcPr>
            <w:tcW w:w="4536" w:type="dxa"/>
          </w:tcPr>
          <w:p w14:paraId="726586E4" w14:textId="77777777" w:rsidR="00D43DC8" w:rsidRDefault="00D43DC8" w:rsidP="00EC226F">
            <w:pPr>
              <w:pStyle w:val="NormalIndent"/>
              <w:spacing w:before="120" w:after="120"/>
              <w:ind w:left="68"/>
              <w:rPr>
                <w:rFonts w:ascii="Arial" w:hAnsi="Arial" w:cs="Arial"/>
                <w:snapToGrid w:val="0"/>
                <w:sz w:val="18"/>
              </w:rPr>
            </w:pPr>
            <w:r>
              <w:rPr>
                <w:rFonts w:ascii="Arial" w:hAnsi="Arial" w:cs="Arial"/>
                <w:snapToGrid w:val="0"/>
                <w:sz w:val="18"/>
              </w:rPr>
              <w:t>New Ethernet MAN single uplink establishment per link between your two specified addresses</w:t>
            </w:r>
          </w:p>
        </w:tc>
        <w:tc>
          <w:tcPr>
            <w:tcW w:w="1418" w:type="dxa"/>
          </w:tcPr>
          <w:p w14:paraId="3BF4D609" w14:textId="77777777" w:rsidR="00D43DC8" w:rsidRDefault="00D43DC8" w:rsidP="00EC226F">
            <w:pPr>
              <w:spacing w:before="120" w:after="120"/>
              <w:ind w:right="76" w:firstLine="132"/>
              <w:jc w:val="center"/>
              <w:rPr>
                <w:rFonts w:ascii="Arial" w:hAnsi="Arial" w:cs="Arial"/>
                <w:snapToGrid w:val="0"/>
                <w:sz w:val="18"/>
              </w:rPr>
            </w:pPr>
          </w:p>
        </w:tc>
      </w:tr>
      <w:tr w:rsidR="00D43DC8" w14:paraId="75B65FAB" w14:textId="77777777">
        <w:tblPrEx>
          <w:tblCellMar>
            <w:top w:w="0" w:type="dxa"/>
            <w:bottom w:w="0" w:type="dxa"/>
          </w:tblCellMar>
        </w:tblPrEx>
        <w:trPr>
          <w:trHeight w:val="247"/>
        </w:trPr>
        <w:tc>
          <w:tcPr>
            <w:tcW w:w="4536" w:type="dxa"/>
          </w:tcPr>
          <w:p w14:paraId="07483067" w14:textId="77777777" w:rsidR="00D43DC8" w:rsidRDefault="00D43DC8" w:rsidP="00EC226F">
            <w:pPr>
              <w:pStyle w:val="NormalIndent"/>
              <w:spacing w:before="120" w:after="120"/>
              <w:ind w:left="68"/>
              <w:rPr>
                <w:rFonts w:ascii="Arial" w:hAnsi="Arial" w:cs="Arial"/>
                <w:snapToGrid w:val="0"/>
                <w:sz w:val="18"/>
              </w:rPr>
            </w:pPr>
            <w:r>
              <w:rPr>
                <w:rFonts w:ascii="Arial" w:hAnsi="Arial" w:cs="Arial"/>
                <w:snapToGrid w:val="0"/>
                <w:sz w:val="18"/>
              </w:rPr>
              <w:t>- central business district zone to central business district zone</w:t>
            </w:r>
          </w:p>
        </w:tc>
        <w:tc>
          <w:tcPr>
            <w:tcW w:w="1418" w:type="dxa"/>
          </w:tcPr>
          <w:p w14:paraId="77759A89" w14:textId="77777777" w:rsidR="00D43DC8" w:rsidRDefault="00D43DC8" w:rsidP="00EC226F">
            <w:pPr>
              <w:spacing w:before="120" w:after="120"/>
              <w:ind w:right="76" w:firstLine="132"/>
              <w:jc w:val="right"/>
              <w:rPr>
                <w:rFonts w:ascii="Arial" w:hAnsi="Arial" w:cs="Arial"/>
                <w:b/>
                <w:bCs/>
                <w:snapToGrid w:val="0"/>
                <w:sz w:val="18"/>
              </w:rPr>
            </w:pPr>
            <w:r>
              <w:rPr>
                <w:rFonts w:ascii="Arial" w:hAnsi="Arial" w:cs="Arial"/>
                <w:b/>
                <w:bCs/>
                <w:snapToGrid w:val="0"/>
                <w:sz w:val="18"/>
              </w:rPr>
              <w:t>$20,000.00</w:t>
            </w:r>
          </w:p>
        </w:tc>
      </w:tr>
      <w:tr w:rsidR="00D43DC8" w14:paraId="60A40E3D" w14:textId="77777777">
        <w:tblPrEx>
          <w:tblCellMar>
            <w:top w:w="0" w:type="dxa"/>
            <w:bottom w:w="0" w:type="dxa"/>
          </w:tblCellMar>
        </w:tblPrEx>
        <w:trPr>
          <w:trHeight w:val="247"/>
        </w:trPr>
        <w:tc>
          <w:tcPr>
            <w:tcW w:w="4536" w:type="dxa"/>
          </w:tcPr>
          <w:p w14:paraId="70812485" w14:textId="77777777" w:rsidR="00D43DC8" w:rsidRDefault="00D43DC8" w:rsidP="00EC226F">
            <w:pPr>
              <w:pStyle w:val="NormalIndent"/>
              <w:spacing w:before="120" w:after="120"/>
              <w:ind w:left="68"/>
              <w:rPr>
                <w:rFonts w:ascii="Arial" w:hAnsi="Arial" w:cs="Arial"/>
                <w:snapToGrid w:val="0"/>
                <w:sz w:val="18"/>
              </w:rPr>
            </w:pPr>
            <w:r>
              <w:rPr>
                <w:rFonts w:ascii="Arial" w:hAnsi="Arial" w:cs="Arial"/>
                <w:snapToGrid w:val="0"/>
                <w:sz w:val="18"/>
              </w:rPr>
              <w:t>- central business district zone to business zone</w:t>
            </w:r>
          </w:p>
        </w:tc>
        <w:tc>
          <w:tcPr>
            <w:tcW w:w="1418" w:type="dxa"/>
          </w:tcPr>
          <w:p w14:paraId="2562F6D5" w14:textId="77777777" w:rsidR="00D43DC8" w:rsidRDefault="00D43DC8" w:rsidP="00EC226F">
            <w:pPr>
              <w:spacing w:before="120" w:after="120"/>
              <w:ind w:right="76" w:firstLine="132"/>
              <w:jc w:val="right"/>
              <w:rPr>
                <w:rFonts w:ascii="Arial" w:hAnsi="Arial" w:cs="Arial"/>
                <w:b/>
                <w:bCs/>
                <w:snapToGrid w:val="0"/>
                <w:sz w:val="18"/>
              </w:rPr>
            </w:pPr>
            <w:r>
              <w:rPr>
                <w:rFonts w:ascii="Arial" w:hAnsi="Arial" w:cs="Arial"/>
                <w:b/>
                <w:bCs/>
                <w:snapToGrid w:val="0"/>
                <w:sz w:val="18"/>
              </w:rPr>
              <w:t>$24,000.00</w:t>
            </w:r>
          </w:p>
        </w:tc>
      </w:tr>
      <w:tr w:rsidR="00D43DC8" w14:paraId="0095F2EC" w14:textId="77777777">
        <w:tblPrEx>
          <w:tblCellMar>
            <w:top w:w="0" w:type="dxa"/>
            <w:bottom w:w="0" w:type="dxa"/>
          </w:tblCellMar>
        </w:tblPrEx>
        <w:trPr>
          <w:trHeight w:val="247"/>
        </w:trPr>
        <w:tc>
          <w:tcPr>
            <w:tcW w:w="4536" w:type="dxa"/>
          </w:tcPr>
          <w:p w14:paraId="10C3113B" w14:textId="77777777" w:rsidR="00D43DC8" w:rsidRDefault="00D43DC8" w:rsidP="00EC226F">
            <w:pPr>
              <w:pStyle w:val="NormalIndent"/>
              <w:spacing w:before="120" w:after="120"/>
              <w:ind w:left="68"/>
              <w:rPr>
                <w:rFonts w:ascii="Arial" w:hAnsi="Arial" w:cs="Arial"/>
                <w:snapToGrid w:val="0"/>
                <w:sz w:val="18"/>
              </w:rPr>
            </w:pPr>
            <w:r>
              <w:rPr>
                <w:rFonts w:ascii="Arial" w:hAnsi="Arial" w:cs="Arial"/>
                <w:snapToGrid w:val="0"/>
                <w:sz w:val="18"/>
              </w:rPr>
              <w:t>- business zone to business zone</w:t>
            </w:r>
          </w:p>
        </w:tc>
        <w:tc>
          <w:tcPr>
            <w:tcW w:w="1418" w:type="dxa"/>
          </w:tcPr>
          <w:p w14:paraId="2678BA75" w14:textId="77777777" w:rsidR="00D43DC8" w:rsidRDefault="00D43DC8" w:rsidP="00EC226F">
            <w:pPr>
              <w:spacing w:before="120" w:after="120"/>
              <w:ind w:right="76" w:firstLine="132"/>
              <w:jc w:val="right"/>
              <w:rPr>
                <w:rFonts w:ascii="Arial" w:hAnsi="Arial" w:cs="Arial"/>
                <w:b/>
                <w:bCs/>
                <w:snapToGrid w:val="0"/>
                <w:sz w:val="18"/>
              </w:rPr>
            </w:pPr>
            <w:r>
              <w:rPr>
                <w:rFonts w:ascii="Arial" w:hAnsi="Arial" w:cs="Arial"/>
                <w:b/>
                <w:bCs/>
                <w:snapToGrid w:val="0"/>
                <w:sz w:val="18"/>
              </w:rPr>
              <w:t>$24,000.00</w:t>
            </w:r>
          </w:p>
        </w:tc>
      </w:tr>
      <w:tr w:rsidR="00D43DC8" w14:paraId="45DDD8F8" w14:textId="77777777">
        <w:tblPrEx>
          <w:tblCellMar>
            <w:top w:w="0" w:type="dxa"/>
            <w:bottom w:w="0" w:type="dxa"/>
          </w:tblCellMar>
        </w:tblPrEx>
        <w:trPr>
          <w:trHeight w:val="247"/>
        </w:trPr>
        <w:tc>
          <w:tcPr>
            <w:tcW w:w="4536" w:type="dxa"/>
          </w:tcPr>
          <w:p w14:paraId="1395081A" w14:textId="77777777" w:rsidR="00D43DC8" w:rsidRDefault="00D43DC8" w:rsidP="00EC226F">
            <w:pPr>
              <w:pStyle w:val="NormalIndent"/>
              <w:spacing w:before="120" w:after="120"/>
              <w:ind w:left="68"/>
              <w:rPr>
                <w:rFonts w:ascii="Arial" w:hAnsi="Arial" w:cs="Arial"/>
                <w:snapToGrid w:val="0"/>
                <w:sz w:val="18"/>
              </w:rPr>
            </w:pPr>
            <w:r>
              <w:rPr>
                <w:rFonts w:ascii="Arial" w:hAnsi="Arial" w:cs="Arial"/>
                <w:snapToGrid w:val="0"/>
                <w:sz w:val="18"/>
              </w:rPr>
              <w:t>- central business district zone to metro zone</w:t>
            </w:r>
          </w:p>
        </w:tc>
        <w:tc>
          <w:tcPr>
            <w:tcW w:w="1418" w:type="dxa"/>
          </w:tcPr>
          <w:p w14:paraId="5764820C" w14:textId="77777777" w:rsidR="00D43DC8" w:rsidRDefault="00D43DC8" w:rsidP="00EC226F">
            <w:pPr>
              <w:spacing w:before="120" w:after="120"/>
              <w:ind w:right="76" w:firstLine="132"/>
              <w:jc w:val="right"/>
              <w:rPr>
                <w:rFonts w:ascii="Arial" w:hAnsi="Arial" w:cs="Arial"/>
                <w:b/>
                <w:bCs/>
                <w:snapToGrid w:val="0"/>
                <w:sz w:val="18"/>
              </w:rPr>
            </w:pPr>
            <w:r>
              <w:rPr>
                <w:rFonts w:ascii="Arial" w:hAnsi="Arial" w:cs="Arial"/>
                <w:b/>
                <w:bCs/>
                <w:snapToGrid w:val="0"/>
                <w:sz w:val="18"/>
              </w:rPr>
              <w:t>$33,000.00</w:t>
            </w:r>
          </w:p>
        </w:tc>
      </w:tr>
      <w:tr w:rsidR="00D43DC8" w14:paraId="71926E0C" w14:textId="77777777">
        <w:tblPrEx>
          <w:tblCellMar>
            <w:top w:w="0" w:type="dxa"/>
            <w:bottom w:w="0" w:type="dxa"/>
          </w:tblCellMar>
        </w:tblPrEx>
        <w:trPr>
          <w:trHeight w:val="247"/>
        </w:trPr>
        <w:tc>
          <w:tcPr>
            <w:tcW w:w="4536" w:type="dxa"/>
          </w:tcPr>
          <w:p w14:paraId="6AD972B7" w14:textId="77777777" w:rsidR="00D43DC8" w:rsidRDefault="00D43DC8" w:rsidP="00EC226F">
            <w:pPr>
              <w:pStyle w:val="NormalIndent"/>
              <w:spacing w:before="120" w:after="120"/>
              <w:ind w:left="68"/>
              <w:rPr>
                <w:rFonts w:ascii="Arial" w:hAnsi="Arial" w:cs="Arial"/>
                <w:snapToGrid w:val="0"/>
                <w:sz w:val="18"/>
              </w:rPr>
            </w:pPr>
            <w:r>
              <w:rPr>
                <w:rFonts w:ascii="Arial" w:hAnsi="Arial" w:cs="Arial"/>
                <w:snapToGrid w:val="0"/>
                <w:sz w:val="18"/>
              </w:rPr>
              <w:t>- business zone to metro zone</w:t>
            </w:r>
          </w:p>
        </w:tc>
        <w:tc>
          <w:tcPr>
            <w:tcW w:w="1418" w:type="dxa"/>
          </w:tcPr>
          <w:p w14:paraId="3312C167" w14:textId="77777777" w:rsidR="00D43DC8" w:rsidRDefault="00D43DC8" w:rsidP="00EC226F">
            <w:pPr>
              <w:spacing w:before="120" w:after="120"/>
              <w:ind w:right="76" w:firstLine="132"/>
              <w:jc w:val="right"/>
              <w:rPr>
                <w:rFonts w:ascii="Arial" w:hAnsi="Arial" w:cs="Arial"/>
                <w:b/>
                <w:bCs/>
                <w:snapToGrid w:val="0"/>
                <w:sz w:val="18"/>
              </w:rPr>
            </w:pPr>
            <w:r>
              <w:rPr>
                <w:rFonts w:ascii="Arial" w:hAnsi="Arial" w:cs="Arial"/>
                <w:b/>
                <w:bCs/>
                <w:snapToGrid w:val="0"/>
                <w:sz w:val="18"/>
              </w:rPr>
              <w:t>$24,000.00</w:t>
            </w:r>
          </w:p>
        </w:tc>
      </w:tr>
      <w:tr w:rsidR="00D43DC8" w14:paraId="25591FB8" w14:textId="77777777">
        <w:tblPrEx>
          <w:tblCellMar>
            <w:top w:w="0" w:type="dxa"/>
            <w:bottom w:w="0" w:type="dxa"/>
          </w:tblCellMar>
        </w:tblPrEx>
        <w:trPr>
          <w:trHeight w:val="247"/>
        </w:trPr>
        <w:tc>
          <w:tcPr>
            <w:tcW w:w="4536" w:type="dxa"/>
          </w:tcPr>
          <w:p w14:paraId="1994B634" w14:textId="77777777" w:rsidR="00D43DC8" w:rsidRPr="00F92EB7" w:rsidRDefault="00D43DC8" w:rsidP="00EC226F">
            <w:pPr>
              <w:pStyle w:val="NormalIndent"/>
              <w:spacing w:before="120" w:after="120"/>
              <w:ind w:left="68"/>
              <w:rPr>
                <w:rFonts w:ascii="Arial" w:hAnsi="Arial" w:cs="Arial"/>
                <w:snapToGrid w:val="0"/>
                <w:sz w:val="18"/>
                <w:lang w:val="fr-FR"/>
              </w:rPr>
            </w:pPr>
            <w:r w:rsidRPr="00F92EB7">
              <w:rPr>
                <w:rFonts w:ascii="Arial" w:hAnsi="Arial" w:cs="Arial"/>
                <w:snapToGrid w:val="0"/>
                <w:sz w:val="18"/>
                <w:lang w:val="fr-FR"/>
              </w:rPr>
              <w:t>- metro zone to metro zone</w:t>
            </w:r>
          </w:p>
        </w:tc>
        <w:tc>
          <w:tcPr>
            <w:tcW w:w="1418" w:type="dxa"/>
          </w:tcPr>
          <w:p w14:paraId="791E9578" w14:textId="77777777" w:rsidR="00D43DC8" w:rsidRDefault="00D43DC8" w:rsidP="00EC226F">
            <w:pPr>
              <w:spacing w:before="120" w:after="120"/>
              <w:ind w:right="76" w:firstLine="132"/>
              <w:jc w:val="right"/>
              <w:rPr>
                <w:rFonts w:ascii="Arial" w:hAnsi="Arial" w:cs="Arial"/>
                <w:b/>
                <w:bCs/>
                <w:snapToGrid w:val="0"/>
                <w:sz w:val="18"/>
              </w:rPr>
            </w:pPr>
            <w:r>
              <w:rPr>
                <w:rFonts w:ascii="Arial" w:hAnsi="Arial" w:cs="Arial"/>
                <w:b/>
                <w:bCs/>
                <w:snapToGrid w:val="0"/>
                <w:sz w:val="18"/>
              </w:rPr>
              <w:t>$33,000.00</w:t>
            </w:r>
          </w:p>
        </w:tc>
      </w:tr>
    </w:tbl>
    <w:p w14:paraId="6722AAE3" w14:textId="77777777" w:rsidR="00D43DC8" w:rsidRDefault="00D43DC8">
      <w:pPr>
        <w:pStyle w:val="TableData"/>
        <w:rPr>
          <w:b/>
          <w:bCs/>
        </w:rPr>
      </w:pPr>
    </w:p>
    <w:p w14:paraId="3802A686" w14:textId="77777777" w:rsidR="00D43DC8" w:rsidRDefault="00D43DC8">
      <w:pPr>
        <w:pStyle w:val="Indent1"/>
      </w:pPr>
      <w:bookmarkStart w:id="41" w:name="_Toc477170885"/>
      <w:bookmarkEnd w:id="39"/>
      <w:r>
        <w:lastRenderedPageBreak/>
        <w:t xml:space="preserve">Connection charges – </w:t>
      </w:r>
      <w:r>
        <w:t>dual uplink and fully redundant connection</w:t>
      </w:r>
      <w:bookmarkEnd w:id="41"/>
    </w:p>
    <w:p w14:paraId="58BB3746" w14:textId="77777777" w:rsidR="00D43DC8" w:rsidRDefault="00D43DC8">
      <w:pPr>
        <w:pStyle w:val="Heading2"/>
      </w:pPr>
      <w:r>
        <w:t xml:space="preserve">We charge you the following network link establishment charge and port connection charges for connecting a new Ethernet MAN dual uplink and Ethernet MAN fully redundant connection.  </w:t>
      </w:r>
    </w:p>
    <w:p w14:paraId="2144550B" w14:textId="77777777" w:rsidR="00D43DC8" w:rsidRDefault="00D43DC8">
      <w:pPr>
        <w:pStyle w:val="Heading2"/>
      </w:pPr>
      <w:r>
        <w:t>The network link establishment charge covers connection to our network and connection of your property (ie, installing and testing cabling from the building entry point to the network boundary</w:t>
      </w:r>
      <w:r>
        <w:rPr>
          <w:iCs/>
        </w:rPr>
        <w:t>).</w:t>
      </w:r>
    </w:p>
    <w:tbl>
      <w:tblPr>
        <w:tblW w:w="5954" w:type="dxa"/>
        <w:tblInd w:w="7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536"/>
        <w:gridCol w:w="1418"/>
      </w:tblGrid>
      <w:tr w:rsidR="00D43DC8" w:rsidRPr="00EC226F" w14:paraId="61AF5673" w14:textId="77777777">
        <w:tblPrEx>
          <w:tblCellMar>
            <w:top w:w="0" w:type="dxa"/>
            <w:bottom w:w="0" w:type="dxa"/>
          </w:tblCellMar>
        </w:tblPrEx>
        <w:trPr>
          <w:trHeight w:val="247"/>
          <w:tblHeader/>
        </w:trPr>
        <w:tc>
          <w:tcPr>
            <w:tcW w:w="4536" w:type="dxa"/>
          </w:tcPr>
          <w:p w14:paraId="557F4DF4" w14:textId="77777777" w:rsidR="00D43DC8" w:rsidRPr="00EC226F" w:rsidRDefault="00D43DC8" w:rsidP="00EC226F">
            <w:pPr>
              <w:pStyle w:val="TableHead"/>
              <w:keepNext/>
              <w:spacing w:before="120" w:after="120"/>
              <w:ind w:left="183" w:right="38"/>
            </w:pPr>
            <w:r w:rsidRPr="00EC226F">
              <w:t>Connection charges – dual uplink and fully redundant connection</w:t>
            </w:r>
          </w:p>
        </w:tc>
        <w:tc>
          <w:tcPr>
            <w:tcW w:w="1418" w:type="dxa"/>
          </w:tcPr>
          <w:p w14:paraId="0FDE6402" w14:textId="77777777" w:rsidR="00D43DC8" w:rsidRPr="00EC226F" w:rsidRDefault="00D43DC8" w:rsidP="00EC226F">
            <w:pPr>
              <w:pStyle w:val="TableHead"/>
              <w:keepNext/>
              <w:spacing w:before="120" w:after="120"/>
              <w:ind w:left="17" w:right="76" w:firstLine="115"/>
            </w:pPr>
            <w:r w:rsidRPr="00EC226F">
              <w:t>GST excl.</w:t>
            </w:r>
          </w:p>
        </w:tc>
      </w:tr>
      <w:tr w:rsidR="00D43DC8" w:rsidRPr="00EC226F" w14:paraId="722FE6B2" w14:textId="77777777">
        <w:tblPrEx>
          <w:tblCellMar>
            <w:top w:w="0" w:type="dxa"/>
            <w:bottom w:w="0" w:type="dxa"/>
          </w:tblCellMar>
        </w:tblPrEx>
        <w:trPr>
          <w:trHeight w:val="247"/>
        </w:trPr>
        <w:tc>
          <w:tcPr>
            <w:tcW w:w="4536" w:type="dxa"/>
          </w:tcPr>
          <w:p w14:paraId="1E945CAF" w14:textId="77777777" w:rsidR="00D43DC8" w:rsidRPr="00EC226F" w:rsidRDefault="00D43DC8" w:rsidP="00EC226F">
            <w:pPr>
              <w:pStyle w:val="TableHead"/>
              <w:keepNext/>
              <w:spacing w:before="120" w:after="120"/>
              <w:ind w:left="183" w:right="38"/>
              <w:rPr>
                <w:b w:val="0"/>
              </w:rPr>
            </w:pPr>
            <w:r w:rsidRPr="00EC226F">
              <w:rPr>
                <w:b w:val="0"/>
              </w:rPr>
              <w:t>New standard Ethernet MAN dual uplink or fully redundant connection establishment per link between your two specified addresses</w:t>
            </w:r>
          </w:p>
        </w:tc>
        <w:tc>
          <w:tcPr>
            <w:tcW w:w="1418" w:type="dxa"/>
          </w:tcPr>
          <w:p w14:paraId="3CB4766C" w14:textId="77777777" w:rsidR="00D43DC8" w:rsidRPr="00EC226F" w:rsidRDefault="00D43DC8" w:rsidP="00EC226F">
            <w:pPr>
              <w:pStyle w:val="TableHead"/>
              <w:keepNext/>
              <w:spacing w:before="120" w:after="120"/>
              <w:ind w:left="17" w:right="76" w:firstLine="115"/>
            </w:pPr>
          </w:p>
        </w:tc>
      </w:tr>
      <w:tr w:rsidR="00D43DC8" w:rsidRPr="00EC226F" w14:paraId="45D1E5D4" w14:textId="77777777">
        <w:tblPrEx>
          <w:tblCellMar>
            <w:top w:w="0" w:type="dxa"/>
            <w:bottom w:w="0" w:type="dxa"/>
          </w:tblCellMar>
        </w:tblPrEx>
        <w:trPr>
          <w:trHeight w:val="247"/>
        </w:trPr>
        <w:tc>
          <w:tcPr>
            <w:tcW w:w="4536" w:type="dxa"/>
          </w:tcPr>
          <w:p w14:paraId="32B23639" w14:textId="77777777" w:rsidR="00D43DC8" w:rsidRPr="00EC226F" w:rsidRDefault="00D43DC8" w:rsidP="00EC226F">
            <w:pPr>
              <w:pStyle w:val="TableHead"/>
              <w:keepNext/>
              <w:spacing w:before="120" w:after="120"/>
              <w:ind w:left="183" w:right="38"/>
              <w:rPr>
                <w:b w:val="0"/>
              </w:rPr>
            </w:pPr>
            <w:r w:rsidRPr="00EC226F">
              <w:rPr>
                <w:b w:val="0"/>
              </w:rPr>
              <w:t>- central business district zone to central business district zone</w:t>
            </w:r>
          </w:p>
        </w:tc>
        <w:tc>
          <w:tcPr>
            <w:tcW w:w="1418" w:type="dxa"/>
          </w:tcPr>
          <w:p w14:paraId="79D6F069" w14:textId="77777777" w:rsidR="00D43DC8" w:rsidRPr="00EC226F" w:rsidRDefault="00D43DC8" w:rsidP="00EC226F">
            <w:pPr>
              <w:pStyle w:val="TableHead"/>
              <w:keepNext/>
              <w:spacing w:before="120" w:after="120"/>
              <w:ind w:left="17" w:right="76" w:firstLine="115"/>
              <w:jc w:val="right"/>
            </w:pPr>
            <w:r w:rsidRPr="00EC226F">
              <w:t>$30,000.00</w:t>
            </w:r>
            <w:r w:rsidR="00EC226F">
              <w:t xml:space="preserve">  </w:t>
            </w:r>
          </w:p>
        </w:tc>
      </w:tr>
      <w:tr w:rsidR="00D43DC8" w:rsidRPr="00EC226F" w14:paraId="0E581FB3" w14:textId="77777777">
        <w:tblPrEx>
          <w:tblCellMar>
            <w:top w:w="0" w:type="dxa"/>
            <w:bottom w:w="0" w:type="dxa"/>
          </w:tblCellMar>
        </w:tblPrEx>
        <w:trPr>
          <w:trHeight w:val="247"/>
        </w:trPr>
        <w:tc>
          <w:tcPr>
            <w:tcW w:w="4536" w:type="dxa"/>
          </w:tcPr>
          <w:p w14:paraId="206ACF42" w14:textId="77777777" w:rsidR="00D43DC8" w:rsidRPr="00EC226F" w:rsidRDefault="00D43DC8" w:rsidP="00EC226F">
            <w:pPr>
              <w:pStyle w:val="TableHead"/>
              <w:keepNext/>
              <w:spacing w:before="120" w:after="120"/>
              <w:ind w:left="183" w:right="38"/>
              <w:rPr>
                <w:b w:val="0"/>
              </w:rPr>
            </w:pPr>
            <w:r w:rsidRPr="00EC226F">
              <w:rPr>
                <w:b w:val="0"/>
              </w:rPr>
              <w:t>- central business district zone to business zone</w:t>
            </w:r>
          </w:p>
        </w:tc>
        <w:tc>
          <w:tcPr>
            <w:tcW w:w="1418" w:type="dxa"/>
          </w:tcPr>
          <w:p w14:paraId="3C9DD744" w14:textId="77777777" w:rsidR="00D43DC8" w:rsidRPr="00EC226F" w:rsidRDefault="00D43DC8" w:rsidP="00EC226F">
            <w:pPr>
              <w:pStyle w:val="TableHead"/>
              <w:keepNext/>
              <w:spacing w:before="120" w:after="120"/>
              <w:ind w:left="17" w:right="76" w:firstLine="115"/>
              <w:jc w:val="right"/>
            </w:pPr>
            <w:r w:rsidRPr="00EC226F">
              <w:t>$40,000.00</w:t>
            </w:r>
          </w:p>
        </w:tc>
      </w:tr>
      <w:tr w:rsidR="00D43DC8" w:rsidRPr="00EC226F" w14:paraId="6F8B1F7F" w14:textId="77777777">
        <w:tblPrEx>
          <w:tblCellMar>
            <w:top w:w="0" w:type="dxa"/>
            <w:bottom w:w="0" w:type="dxa"/>
          </w:tblCellMar>
        </w:tblPrEx>
        <w:trPr>
          <w:trHeight w:val="247"/>
        </w:trPr>
        <w:tc>
          <w:tcPr>
            <w:tcW w:w="4536" w:type="dxa"/>
          </w:tcPr>
          <w:p w14:paraId="65C4E141" w14:textId="77777777" w:rsidR="00D43DC8" w:rsidRPr="00EC226F" w:rsidRDefault="00D43DC8" w:rsidP="00EC226F">
            <w:pPr>
              <w:pStyle w:val="TableHead"/>
              <w:keepNext/>
              <w:spacing w:before="120" w:after="120"/>
              <w:ind w:left="183" w:right="38"/>
              <w:rPr>
                <w:b w:val="0"/>
              </w:rPr>
            </w:pPr>
            <w:r w:rsidRPr="00EC226F">
              <w:rPr>
                <w:b w:val="0"/>
              </w:rPr>
              <w:t>- business zone to business zone</w:t>
            </w:r>
          </w:p>
        </w:tc>
        <w:tc>
          <w:tcPr>
            <w:tcW w:w="1418" w:type="dxa"/>
          </w:tcPr>
          <w:p w14:paraId="4D02628A" w14:textId="77777777" w:rsidR="00D43DC8" w:rsidRPr="00EC226F" w:rsidRDefault="00D43DC8" w:rsidP="00EC226F">
            <w:pPr>
              <w:pStyle w:val="TableHead"/>
              <w:keepNext/>
              <w:spacing w:before="120" w:after="120"/>
              <w:ind w:left="17" w:right="76" w:firstLine="115"/>
              <w:jc w:val="right"/>
            </w:pPr>
            <w:r w:rsidRPr="00EC226F">
              <w:t>$40,000.00</w:t>
            </w:r>
          </w:p>
        </w:tc>
      </w:tr>
      <w:tr w:rsidR="00D43DC8" w:rsidRPr="00EC226F" w14:paraId="75D6F6A4" w14:textId="77777777">
        <w:tblPrEx>
          <w:tblCellMar>
            <w:top w:w="0" w:type="dxa"/>
            <w:bottom w:w="0" w:type="dxa"/>
          </w:tblCellMar>
        </w:tblPrEx>
        <w:trPr>
          <w:trHeight w:val="247"/>
        </w:trPr>
        <w:tc>
          <w:tcPr>
            <w:tcW w:w="4536" w:type="dxa"/>
          </w:tcPr>
          <w:p w14:paraId="47444366" w14:textId="77777777" w:rsidR="00D43DC8" w:rsidRPr="00EC226F" w:rsidRDefault="00D43DC8" w:rsidP="00EC226F">
            <w:pPr>
              <w:pStyle w:val="TableHead"/>
              <w:keepNext/>
              <w:spacing w:before="120" w:after="120"/>
              <w:ind w:left="183" w:right="38"/>
              <w:rPr>
                <w:b w:val="0"/>
              </w:rPr>
            </w:pPr>
            <w:r w:rsidRPr="00EC226F">
              <w:rPr>
                <w:b w:val="0"/>
              </w:rPr>
              <w:t>- central business district zone to metro zone</w:t>
            </w:r>
          </w:p>
        </w:tc>
        <w:tc>
          <w:tcPr>
            <w:tcW w:w="1418" w:type="dxa"/>
          </w:tcPr>
          <w:p w14:paraId="20DA6810" w14:textId="77777777" w:rsidR="00D43DC8" w:rsidRPr="00EC226F" w:rsidRDefault="00D43DC8" w:rsidP="00EC226F">
            <w:pPr>
              <w:pStyle w:val="TableHead"/>
              <w:keepNext/>
              <w:spacing w:before="120" w:after="120"/>
              <w:ind w:left="17" w:right="76" w:firstLine="115"/>
              <w:jc w:val="right"/>
            </w:pPr>
            <w:r w:rsidRPr="00EC226F">
              <w:t>$50,000.00</w:t>
            </w:r>
          </w:p>
        </w:tc>
      </w:tr>
      <w:tr w:rsidR="00D43DC8" w:rsidRPr="00EC226F" w14:paraId="57579BB4" w14:textId="77777777">
        <w:tblPrEx>
          <w:tblCellMar>
            <w:top w:w="0" w:type="dxa"/>
            <w:bottom w:w="0" w:type="dxa"/>
          </w:tblCellMar>
        </w:tblPrEx>
        <w:trPr>
          <w:trHeight w:val="247"/>
        </w:trPr>
        <w:tc>
          <w:tcPr>
            <w:tcW w:w="4536" w:type="dxa"/>
          </w:tcPr>
          <w:p w14:paraId="52C0E0B2" w14:textId="77777777" w:rsidR="00D43DC8" w:rsidRPr="00EC226F" w:rsidRDefault="00D43DC8" w:rsidP="00EC226F">
            <w:pPr>
              <w:pStyle w:val="TableHead"/>
              <w:keepNext/>
              <w:spacing w:before="120" w:after="120"/>
              <w:ind w:left="183" w:right="38"/>
              <w:rPr>
                <w:b w:val="0"/>
              </w:rPr>
            </w:pPr>
            <w:r w:rsidRPr="00EC226F">
              <w:rPr>
                <w:b w:val="0"/>
              </w:rPr>
              <w:t>- business zone to metro zone</w:t>
            </w:r>
          </w:p>
        </w:tc>
        <w:tc>
          <w:tcPr>
            <w:tcW w:w="1418" w:type="dxa"/>
          </w:tcPr>
          <w:p w14:paraId="4C78F4E4" w14:textId="77777777" w:rsidR="00D43DC8" w:rsidRPr="00EC226F" w:rsidRDefault="00D43DC8" w:rsidP="00EC226F">
            <w:pPr>
              <w:pStyle w:val="TableHead"/>
              <w:keepNext/>
              <w:spacing w:before="120" w:after="120"/>
              <w:ind w:left="17" w:right="76" w:firstLine="115"/>
              <w:jc w:val="right"/>
            </w:pPr>
            <w:r w:rsidRPr="00EC226F">
              <w:t>$50,000.00</w:t>
            </w:r>
          </w:p>
        </w:tc>
      </w:tr>
      <w:tr w:rsidR="00D43DC8" w:rsidRPr="00EC226F" w14:paraId="5507EBDC" w14:textId="77777777">
        <w:tblPrEx>
          <w:tblCellMar>
            <w:top w:w="0" w:type="dxa"/>
            <w:bottom w:w="0" w:type="dxa"/>
          </w:tblCellMar>
        </w:tblPrEx>
        <w:trPr>
          <w:trHeight w:val="247"/>
        </w:trPr>
        <w:tc>
          <w:tcPr>
            <w:tcW w:w="4536" w:type="dxa"/>
          </w:tcPr>
          <w:p w14:paraId="56FD302A" w14:textId="77777777" w:rsidR="00D43DC8" w:rsidRPr="00F92EB7" w:rsidRDefault="00D43DC8" w:rsidP="00EC226F">
            <w:pPr>
              <w:pStyle w:val="TableHead"/>
              <w:keepNext/>
              <w:spacing w:before="120" w:after="120"/>
              <w:ind w:left="183" w:right="38"/>
              <w:rPr>
                <w:b w:val="0"/>
                <w:lang w:val="fr-FR"/>
              </w:rPr>
            </w:pPr>
            <w:r w:rsidRPr="00F92EB7">
              <w:rPr>
                <w:b w:val="0"/>
                <w:lang w:val="fr-FR"/>
              </w:rPr>
              <w:t>- metro zone to metro zone</w:t>
            </w:r>
          </w:p>
        </w:tc>
        <w:tc>
          <w:tcPr>
            <w:tcW w:w="1418" w:type="dxa"/>
          </w:tcPr>
          <w:p w14:paraId="4A2DAB0D" w14:textId="77777777" w:rsidR="00D43DC8" w:rsidRPr="00EC226F" w:rsidRDefault="00D43DC8" w:rsidP="00EC226F">
            <w:pPr>
              <w:pStyle w:val="TableHead"/>
              <w:keepNext/>
              <w:spacing w:before="120" w:after="120"/>
              <w:ind w:left="17" w:right="76" w:firstLine="115"/>
              <w:jc w:val="right"/>
            </w:pPr>
            <w:r w:rsidRPr="00EC226F">
              <w:t>$50,000.00</w:t>
            </w:r>
          </w:p>
        </w:tc>
      </w:tr>
      <w:tr w:rsidR="00D43DC8" w:rsidRPr="00EC226F" w14:paraId="243E963A" w14:textId="77777777">
        <w:tblPrEx>
          <w:tblCellMar>
            <w:top w:w="0" w:type="dxa"/>
            <w:bottom w:w="0" w:type="dxa"/>
          </w:tblCellMar>
        </w:tblPrEx>
        <w:trPr>
          <w:trHeight w:val="247"/>
        </w:trPr>
        <w:tc>
          <w:tcPr>
            <w:tcW w:w="4536" w:type="dxa"/>
          </w:tcPr>
          <w:p w14:paraId="2BF04478" w14:textId="77777777" w:rsidR="00D43DC8" w:rsidRPr="00EC226F" w:rsidRDefault="00D43DC8" w:rsidP="00EC226F">
            <w:pPr>
              <w:pStyle w:val="TableHead"/>
              <w:keepNext/>
              <w:spacing w:before="120" w:after="120"/>
              <w:ind w:left="183" w:right="38"/>
              <w:rPr>
                <w:b w:val="0"/>
              </w:rPr>
            </w:pPr>
            <w:r w:rsidRPr="00EC226F">
              <w:rPr>
                <w:b w:val="0"/>
              </w:rPr>
              <w:t>New standard Ethernet MAN port (each)</w:t>
            </w:r>
          </w:p>
        </w:tc>
        <w:tc>
          <w:tcPr>
            <w:tcW w:w="1418" w:type="dxa"/>
            <w:tcBorders>
              <w:bottom w:val="nil"/>
            </w:tcBorders>
          </w:tcPr>
          <w:p w14:paraId="3B7F7880" w14:textId="77777777" w:rsidR="00D43DC8" w:rsidRPr="00EC226F" w:rsidRDefault="00D43DC8" w:rsidP="00EC226F">
            <w:pPr>
              <w:pStyle w:val="TableHead"/>
              <w:keepNext/>
              <w:spacing w:before="120" w:after="120"/>
              <w:ind w:left="17" w:right="76" w:firstLine="115"/>
              <w:jc w:val="right"/>
            </w:pPr>
            <w:r w:rsidRPr="00EC226F">
              <w:t>$3,600.00</w:t>
            </w:r>
          </w:p>
        </w:tc>
      </w:tr>
      <w:tr w:rsidR="00D43DC8" w:rsidRPr="00EC226F" w14:paraId="772109EC" w14:textId="77777777">
        <w:tblPrEx>
          <w:tblCellMar>
            <w:top w:w="0" w:type="dxa"/>
            <w:bottom w:w="0" w:type="dxa"/>
          </w:tblCellMar>
        </w:tblPrEx>
        <w:trPr>
          <w:trHeight w:val="247"/>
        </w:trPr>
        <w:tc>
          <w:tcPr>
            <w:tcW w:w="4536" w:type="dxa"/>
          </w:tcPr>
          <w:p w14:paraId="1015ECBD" w14:textId="77777777" w:rsidR="00D43DC8" w:rsidRPr="00EC226F" w:rsidRDefault="00D43DC8" w:rsidP="00EC226F">
            <w:pPr>
              <w:pStyle w:val="TableHead"/>
              <w:keepNext/>
              <w:spacing w:before="120" w:after="120"/>
              <w:ind w:left="183" w:right="38"/>
              <w:rPr>
                <w:b w:val="0"/>
              </w:rPr>
            </w:pPr>
            <w:r w:rsidRPr="00EC226F">
              <w:rPr>
                <w:b w:val="0"/>
              </w:rPr>
              <w:t>New fully redundant connection establishment for each specified address</w:t>
            </w:r>
            <w:r w:rsidR="00B25EC3" w:rsidRPr="00EC226F">
              <w:rPr>
                <w:b w:val="0"/>
              </w:rPr>
              <w:t xml:space="preserve">                                                                        </w:t>
            </w:r>
          </w:p>
        </w:tc>
        <w:tc>
          <w:tcPr>
            <w:tcW w:w="1418" w:type="dxa"/>
            <w:tcBorders>
              <w:bottom w:val="nil"/>
            </w:tcBorders>
          </w:tcPr>
          <w:p w14:paraId="3427D4F2" w14:textId="77777777" w:rsidR="00D43DC8" w:rsidRPr="00EC226F" w:rsidRDefault="00D43DC8" w:rsidP="00EC226F">
            <w:pPr>
              <w:pStyle w:val="TableHead"/>
              <w:keepNext/>
              <w:spacing w:before="120" w:after="120"/>
              <w:ind w:left="17" w:right="76" w:firstLine="115"/>
              <w:jc w:val="right"/>
            </w:pPr>
          </w:p>
        </w:tc>
      </w:tr>
      <w:tr w:rsidR="00D43DC8" w:rsidRPr="00EC226F" w14:paraId="51790BE4" w14:textId="77777777">
        <w:tblPrEx>
          <w:tblCellMar>
            <w:top w:w="0" w:type="dxa"/>
            <w:bottom w:w="0" w:type="dxa"/>
          </w:tblCellMar>
        </w:tblPrEx>
        <w:trPr>
          <w:trHeight w:val="247"/>
        </w:trPr>
        <w:tc>
          <w:tcPr>
            <w:tcW w:w="4536" w:type="dxa"/>
          </w:tcPr>
          <w:p w14:paraId="4986A3E9" w14:textId="77777777" w:rsidR="00D43DC8" w:rsidRPr="00EC226F" w:rsidRDefault="00D43DC8" w:rsidP="00EC226F">
            <w:pPr>
              <w:pStyle w:val="TableHead"/>
              <w:keepNext/>
              <w:spacing w:before="120" w:after="120"/>
              <w:ind w:left="183" w:right="38"/>
              <w:rPr>
                <w:b w:val="0"/>
              </w:rPr>
            </w:pPr>
            <w:r w:rsidRPr="00EC226F">
              <w:rPr>
                <w:b w:val="0"/>
              </w:rPr>
              <w:t>- in a metro zone</w:t>
            </w:r>
          </w:p>
        </w:tc>
        <w:tc>
          <w:tcPr>
            <w:tcW w:w="1418" w:type="dxa"/>
            <w:tcBorders>
              <w:bottom w:val="nil"/>
            </w:tcBorders>
          </w:tcPr>
          <w:p w14:paraId="4D4B012D" w14:textId="77777777" w:rsidR="00D43DC8" w:rsidRPr="00EC226F" w:rsidRDefault="00D43DC8" w:rsidP="00EC226F">
            <w:pPr>
              <w:pStyle w:val="TableHead"/>
              <w:keepNext/>
              <w:spacing w:before="120" w:after="120"/>
              <w:ind w:left="17" w:right="76" w:firstLine="115"/>
              <w:jc w:val="right"/>
            </w:pPr>
            <w:r w:rsidRPr="00EC226F">
              <w:t>$50,000.00</w:t>
            </w:r>
          </w:p>
        </w:tc>
      </w:tr>
      <w:tr w:rsidR="00D43DC8" w:rsidRPr="00EC226F" w14:paraId="2AFA72FA" w14:textId="77777777">
        <w:tblPrEx>
          <w:tblCellMar>
            <w:top w:w="0" w:type="dxa"/>
            <w:bottom w:w="0" w:type="dxa"/>
          </w:tblCellMar>
        </w:tblPrEx>
        <w:trPr>
          <w:trHeight w:val="247"/>
        </w:trPr>
        <w:tc>
          <w:tcPr>
            <w:tcW w:w="4536" w:type="dxa"/>
          </w:tcPr>
          <w:p w14:paraId="2BC9FCED" w14:textId="77777777" w:rsidR="00D43DC8" w:rsidRPr="00EC226F" w:rsidRDefault="00D43DC8" w:rsidP="00EC226F">
            <w:pPr>
              <w:pStyle w:val="TableHead"/>
              <w:keepNext/>
              <w:spacing w:before="120" w:after="120"/>
              <w:ind w:left="183" w:right="38"/>
              <w:rPr>
                <w:b w:val="0"/>
              </w:rPr>
            </w:pPr>
            <w:r w:rsidRPr="00EC226F">
              <w:rPr>
                <w:b w:val="0"/>
              </w:rPr>
              <w:t>- in a business zone</w:t>
            </w:r>
          </w:p>
        </w:tc>
        <w:tc>
          <w:tcPr>
            <w:tcW w:w="1418" w:type="dxa"/>
            <w:tcBorders>
              <w:bottom w:val="nil"/>
            </w:tcBorders>
          </w:tcPr>
          <w:p w14:paraId="7EF8D46E" w14:textId="77777777" w:rsidR="00D43DC8" w:rsidRPr="00EC226F" w:rsidRDefault="00D43DC8" w:rsidP="00EC226F">
            <w:pPr>
              <w:pStyle w:val="TableHead"/>
              <w:keepNext/>
              <w:spacing w:before="120" w:after="120"/>
              <w:ind w:left="17" w:right="76" w:firstLine="115"/>
              <w:jc w:val="right"/>
            </w:pPr>
            <w:r w:rsidRPr="00EC226F">
              <w:t>$40,000.00</w:t>
            </w:r>
          </w:p>
        </w:tc>
      </w:tr>
      <w:tr w:rsidR="00D43DC8" w:rsidRPr="00EC226F" w14:paraId="259FD2A0" w14:textId="77777777">
        <w:tblPrEx>
          <w:tblCellMar>
            <w:top w:w="0" w:type="dxa"/>
            <w:bottom w:w="0" w:type="dxa"/>
          </w:tblCellMar>
        </w:tblPrEx>
        <w:trPr>
          <w:trHeight w:val="247"/>
        </w:trPr>
        <w:tc>
          <w:tcPr>
            <w:tcW w:w="4536" w:type="dxa"/>
            <w:tcBorders>
              <w:right w:val="nil"/>
            </w:tcBorders>
          </w:tcPr>
          <w:p w14:paraId="6519B3C4" w14:textId="77777777" w:rsidR="00D43DC8" w:rsidRPr="00EC226F" w:rsidRDefault="00D43DC8" w:rsidP="00EC226F">
            <w:pPr>
              <w:pStyle w:val="TableHead"/>
              <w:keepNext/>
              <w:spacing w:before="120" w:after="120"/>
              <w:ind w:left="183" w:right="38"/>
              <w:rPr>
                <w:b w:val="0"/>
              </w:rPr>
            </w:pPr>
            <w:r w:rsidRPr="00EC226F">
              <w:rPr>
                <w:b w:val="0"/>
              </w:rPr>
              <w:t>- in a central business district zone</w:t>
            </w:r>
          </w:p>
        </w:tc>
        <w:tc>
          <w:tcPr>
            <w:tcW w:w="1418" w:type="dxa"/>
            <w:tcBorders>
              <w:top w:val="single" w:sz="4" w:space="0" w:color="auto"/>
              <w:left w:val="single" w:sz="4" w:space="0" w:color="auto"/>
              <w:bottom w:val="single" w:sz="4" w:space="0" w:color="auto"/>
              <w:right w:val="single" w:sz="4" w:space="0" w:color="auto"/>
            </w:tcBorders>
          </w:tcPr>
          <w:p w14:paraId="261242F7" w14:textId="77777777" w:rsidR="00D43DC8" w:rsidRPr="00EC226F" w:rsidRDefault="00D43DC8" w:rsidP="00EC226F">
            <w:pPr>
              <w:pStyle w:val="TableHead"/>
              <w:keepNext/>
              <w:spacing w:before="120" w:after="120"/>
              <w:ind w:left="17" w:right="76" w:firstLine="115"/>
              <w:jc w:val="right"/>
            </w:pPr>
            <w:r w:rsidRPr="00EC226F">
              <w:t>$30,000.00</w:t>
            </w:r>
          </w:p>
        </w:tc>
      </w:tr>
    </w:tbl>
    <w:p w14:paraId="7F60163E" w14:textId="77777777" w:rsidR="00D43DC8" w:rsidRDefault="00D43DC8">
      <w:pPr>
        <w:pStyle w:val="TableData"/>
        <w:rPr>
          <w:b/>
          <w:bCs/>
        </w:rPr>
      </w:pPr>
    </w:p>
    <w:p w14:paraId="24424BBA" w14:textId="77777777" w:rsidR="00D43DC8" w:rsidRDefault="00D43DC8">
      <w:pPr>
        <w:pStyle w:val="Indent1"/>
      </w:pPr>
      <w:bookmarkStart w:id="42" w:name="_Toc74541769"/>
      <w:bookmarkStart w:id="43" w:name="_Toc477170886"/>
      <w:r>
        <w:t xml:space="preserve">Cabling and NTU </w:t>
      </w:r>
      <w:r w:rsidR="00B25EC3">
        <w:t>l</w:t>
      </w:r>
      <w:r>
        <w:t>ocations</w:t>
      </w:r>
      <w:bookmarkEnd w:id="43"/>
      <w:r>
        <w:t xml:space="preserve">  </w:t>
      </w:r>
    </w:p>
    <w:p w14:paraId="1E5FD425" w14:textId="77777777" w:rsidR="00207522" w:rsidRDefault="00D43DC8">
      <w:pPr>
        <w:pStyle w:val="Heading2"/>
      </w:pPr>
      <w:r>
        <w:t xml:space="preserve">The standard location for </w:t>
      </w:r>
      <w:r w:rsidR="00207522">
        <w:t>our</w:t>
      </w:r>
      <w:r>
        <w:t xml:space="preserve"> NTU at your site is the building </w:t>
      </w:r>
      <w:r w:rsidR="00B25EC3">
        <w:t>c</w:t>
      </w:r>
      <w:r>
        <w:t xml:space="preserve">ommunications </w:t>
      </w:r>
      <w:r w:rsidR="00B25EC3">
        <w:t>r</w:t>
      </w:r>
      <w:r>
        <w:t>oom or the Main Distribution Frame room (</w:t>
      </w:r>
      <w:r w:rsidR="00F931BC">
        <w:t>“</w:t>
      </w:r>
      <w:r w:rsidRPr="00F931BC">
        <w:rPr>
          <w:b/>
        </w:rPr>
        <w:t>MDF Room</w:t>
      </w:r>
      <w:r w:rsidR="00F931BC">
        <w:t>”</w:t>
      </w:r>
      <w:r>
        <w:t xml:space="preserve">), where this exists.  </w:t>
      </w:r>
      <w:r w:rsidR="00207522">
        <w:t xml:space="preserve">We deliver Ethernet MAN to this location.  </w:t>
      </w:r>
      <w:r>
        <w:t>In the case of Ethernet MAN fully redundant connections, we can provide you with a separate NTU at an alternate location</w:t>
      </w:r>
      <w:r w:rsidR="00B25EC3">
        <w:t xml:space="preserve"> or </w:t>
      </w:r>
      <w:r>
        <w:t xml:space="preserve">equipment room at your site. </w:t>
      </w:r>
      <w:r w:rsidR="00F931BC">
        <w:t xml:space="preserve"> </w:t>
      </w:r>
    </w:p>
    <w:p w14:paraId="5D5A6469" w14:textId="77777777" w:rsidR="00D43DC8" w:rsidRDefault="00207522">
      <w:pPr>
        <w:pStyle w:val="Heading2"/>
      </w:pPr>
      <w:r>
        <w:lastRenderedPageBreak/>
        <w:t>If you signed up f</w:t>
      </w:r>
      <w:r w:rsidR="00D43DC8">
        <w:t xml:space="preserve">or Ethernet MAN fully redundant services </w:t>
      </w:r>
      <w:r>
        <w:t xml:space="preserve">or </w:t>
      </w:r>
      <w:r w:rsidR="00D43DC8">
        <w:t xml:space="preserve">dual access services </w:t>
      </w:r>
      <w:r>
        <w:t xml:space="preserve">before 1 November 2012, </w:t>
      </w:r>
      <w:r w:rsidR="00D43DC8">
        <w:t>where both NTUs are to be at an alternate location</w:t>
      </w:r>
      <w:r w:rsidR="00B25EC3">
        <w:t xml:space="preserve"> or </w:t>
      </w:r>
      <w:r w:rsidR="00D43DC8">
        <w:t xml:space="preserve">equipment room at your site, we charge you the additional cost of extending cabling beyond the standard service delivery point for only one of the cable links </w:t>
      </w:r>
      <w:r w:rsidR="002719F9">
        <w:t>(</w:t>
      </w:r>
      <w:r w:rsidR="00D43DC8">
        <w:t>based on the rates set out below</w:t>
      </w:r>
      <w:r w:rsidR="002719F9">
        <w:t xml:space="preserve"> under “Cabling charges” on page </w:t>
      </w:r>
      <w:r w:rsidR="002719F9">
        <w:fldChar w:fldCharType="begin"/>
      </w:r>
      <w:r w:rsidR="002719F9">
        <w:instrText xml:space="preserve"> PAGEREF _Ref128984791 \h </w:instrText>
      </w:r>
      <w:r w:rsidR="002719F9">
        <w:fldChar w:fldCharType="separate"/>
      </w:r>
      <w:r w:rsidR="00EB0FC0">
        <w:rPr>
          <w:noProof/>
        </w:rPr>
        <w:t>11</w:t>
      </w:r>
      <w:r w:rsidR="002719F9">
        <w:fldChar w:fldCharType="end"/>
      </w:r>
      <w:r w:rsidR="002719F9">
        <w:t>)</w:t>
      </w:r>
      <w:r w:rsidR="00D43DC8">
        <w:t>.</w:t>
      </w:r>
      <w:r w:rsidRPr="00207522">
        <w:t xml:space="preserve"> </w:t>
      </w:r>
      <w:r>
        <w:t>If you signed up for your Ethernet MAN fully redundant service or dual access service on and from 1 November 2012</w:t>
      </w:r>
      <w:r w:rsidRPr="00EA4F0D">
        <w:t>, you can ask us to provide you with a separate NTU at an alternative location at your site. If we agree to your request, we’ll charge you the additional cost of extending cabling beyond the standard service delivery point. We confirm these charges on request</w:t>
      </w:r>
      <w:r>
        <w:t>.</w:t>
      </w:r>
    </w:p>
    <w:p w14:paraId="6FCAE93B" w14:textId="77777777" w:rsidR="00D43DC8" w:rsidRDefault="00D43DC8">
      <w:pPr>
        <w:pStyle w:val="Heading2"/>
      </w:pPr>
      <w:r>
        <w:t xml:space="preserve">For Ethernet MAN single uplink and Ethernet MAN dual uplink, you may elect to have an NTU provisioned on your own floor (for example, in your own </w:t>
      </w:r>
      <w:r w:rsidR="00B25EC3">
        <w:t>c</w:t>
      </w:r>
      <w:r>
        <w:t xml:space="preserve">ommunications </w:t>
      </w:r>
      <w:r w:rsidR="00B25EC3">
        <w:t>r</w:t>
      </w:r>
      <w:r>
        <w:t>oom)</w:t>
      </w:r>
      <w:r w:rsidR="002719F9">
        <w:t xml:space="preserve"> </w:t>
      </w:r>
      <w:r>
        <w:t xml:space="preserve">or a location other than the building </w:t>
      </w:r>
      <w:r w:rsidR="00B25EC3">
        <w:t>c</w:t>
      </w:r>
      <w:r>
        <w:t xml:space="preserve">ommunications </w:t>
      </w:r>
      <w:r w:rsidR="00B25EC3">
        <w:t>r</w:t>
      </w:r>
      <w:r>
        <w:t xml:space="preserve">oom, provided that you pay us the </w:t>
      </w:r>
      <w:r w:rsidR="002719F9">
        <w:t>cabling charges.</w:t>
      </w:r>
    </w:p>
    <w:p w14:paraId="56627B83" w14:textId="77777777" w:rsidR="00D43DC8" w:rsidRDefault="00D43DC8">
      <w:pPr>
        <w:pStyle w:val="Heading2"/>
      </w:pPr>
      <w:r>
        <w:t xml:space="preserve">If </w:t>
      </w:r>
      <w:r w:rsidR="00A96FCC">
        <w:t xml:space="preserve">there’s a </w:t>
      </w:r>
      <w:r>
        <w:t xml:space="preserve">suitable </w:t>
      </w:r>
      <w:r w:rsidR="00A96FCC">
        <w:t xml:space="preserve">NTU </w:t>
      </w:r>
      <w:r>
        <w:t xml:space="preserve">to provide </w:t>
      </w:r>
      <w:r w:rsidR="00A96FCC">
        <w:t xml:space="preserve">Ethernet MAN </w:t>
      </w:r>
      <w:r>
        <w:t xml:space="preserve">in the </w:t>
      </w:r>
      <w:r w:rsidR="002719F9">
        <w:t>c</w:t>
      </w:r>
      <w:r>
        <w:t xml:space="preserve">ommunications </w:t>
      </w:r>
      <w:r w:rsidR="002719F9">
        <w:t>r</w:t>
      </w:r>
      <w:r>
        <w:t xml:space="preserve">oom or MDF Room at your site </w:t>
      </w:r>
      <w:r w:rsidR="00A96FCC">
        <w:t xml:space="preserve">but you ask us </w:t>
      </w:r>
      <w:r>
        <w:t xml:space="preserve">to terminate </w:t>
      </w:r>
      <w:r w:rsidR="00A96FCC">
        <w:t>Ethernet MAN</w:t>
      </w:r>
      <w:r>
        <w:t xml:space="preserve"> on a NTU located in another place at your site, </w:t>
      </w:r>
      <w:r w:rsidR="00A96FCC">
        <w:t xml:space="preserve">additional </w:t>
      </w:r>
      <w:r w:rsidR="002719F9">
        <w:t>charges</w:t>
      </w:r>
      <w:r w:rsidR="00A96FCC">
        <w:t xml:space="preserve"> apply, which we confirm on request. If you ask us to do this, you must do so at the time your order Ethernet MAN</w:t>
      </w:r>
      <w:r w:rsidR="002719F9">
        <w:t>.</w:t>
      </w:r>
    </w:p>
    <w:p w14:paraId="1B292CD4" w14:textId="77777777" w:rsidR="00D43DC8" w:rsidRPr="00E00CE0" w:rsidRDefault="00D43DC8">
      <w:pPr>
        <w:pStyle w:val="Heading2"/>
      </w:pPr>
      <w:r w:rsidRPr="00E00CE0">
        <w:t xml:space="preserve">In addition to the above, </w:t>
      </w:r>
      <w:r>
        <w:t>we may supply and provide at your cost:</w:t>
      </w:r>
    </w:p>
    <w:p w14:paraId="15A98B7F" w14:textId="77777777" w:rsidR="00D43DC8" w:rsidRPr="00E00CE0" w:rsidRDefault="00D43DC8" w:rsidP="00E00CE0">
      <w:pPr>
        <w:pStyle w:val="Heading3"/>
      </w:pPr>
      <w:r>
        <w:t>diverse access links;</w:t>
      </w:r>
    </w:p>
    <w:p w14:paraId="24594FBF" w14:textId="77777777" w:rsidR="00D43DC8" w:rsidRPr="00E00CE0" w:rsidRDefault="00D43DC8" w:rsidP="00E00CE0">
      <w:pPr>
        <w:pStyle w:val="Heading3"/>
      </w:pPr>
      <w:r>
        <w:t xml:space="preserve">cable upgrades from the </w:t>
      </w:r>
      <w:r w:rsidR="002719F9">
        <w:t>p</w:t>
      </w:r>
      <w:r>
        <w:t xml:space="preserve">roperty </w:t>
      </w:r>
      <w:r w:rsidR="002719F9">
        <w:t>e</w:t>
      </w:r>
      <w:r>
        <w:t xml:space="preserve">ntry </w:t>
      </w:r>
      <w:r w:rsidR="002719F9">
        <w:t>p</w:t>
      </w:r>
      <w:r>
        <w:t xml:space="preserve">oint to the </w:t>
      </w:r>
      <w:r w:rsidR="002719F9">
        <w:t>b</w:t>
      </w:r>
      <w:r>
        <w:t xml:space="preserve">uilding </w:t>
      </w:r>
      <w:r w:rsidR="002719F9">
        <w:t>e</w:t>
      </w:r>
      <w:r>
        <w:t xml:space="preserve">ntry </w:t>
      </w:r>
      <w:r w:rsidR="002719F9">
        <w:t>p</w:t>
      </w:r>
      <w:r>
        <w:t>oint via trenching</w:t>
      </w:r>
      <w:r w:rsidR="002719F9">
        <w:t xml:space="preserve"> supplied by you or us</w:t>
      </w:r>
      <w:r>
        <w:t>;</w:t>
      </w:r>
    </w:p>
    <w:p w14:paraId="1155063E" w14:textId="77777777" w:rsidR="00D43DC8" w:rsidRPr="00E00CE0" w:rsidRDefault="00D43DC8" w:rsidP="00E00CE0">
      <w:pPr>
        <w:pStyle w:val="Heading3"/>
      </w:pPr>
      <w:r>
        <w:t>alternate or diverse cable entry point to building;</w:t>
      </w:r>
    </w:p>
    <w:p w14:paraId="05DD2050" w14:textId="77777777" w:rsidR="00D43DC8" w:rsidRPr="00E00CE0" w:rsidRDefault="00D43DC8" w:rsidP="00E00CE0">
      <w:pPr>
        <w:pStyle w:val="Heading3"/>
      </w:pPr>
      <w:r>
        <w:t xml:space="preserve">additional service commissioning tests; and </w:t>
      </w:r>
    </w:p>
    <w:p w14:paraId="0F2D61DA" w14:textId="77777777" w:rsidR="00D43DC8" w:rsidRPr="00E00CE0" w:rsidRDefault="00D43DC8" w:rsidP="00E00CE0">
      <w:pPr>
        <w:pStyle w:val="Heading3"/>
      </w:pPr>
      <w:r>
        <w:t xml:space="preserve">any other work specifically requested on your property or </w:t>
      </w:r>
      <w:r w:rsidRPr="00E00CE0">
        <w:t>premises.</w:t>
      </w:r>
    </w:p>
    <w:p w14:paraId="5B0F91EE" w14:textId="77777777" w:rsidR="00D43DC8" w:rsidRDefault="002719F9">
      <w:pPr>
        <w:pStyle w:val="Heading2"/>
        <w:numPr>
          <w:ilvl w:val="0"/>
          <w:numId w:val="0"/>
        </w:numPr>
        <w:ind w:left="737"/>
        <w:rPr>
          <w:rFonts w:ascii="Arial" w:hAnsi="Arial" w:cs="Arial"/>
          <w:b/>
          <w:bCs w:val="0"/>
          <w:sz w:val="21"/>
          <w:szCs w:val="21"/>
          <w:lang w:val="en-US"/>
        </w:rPr>
      </w:pPr>
      <w:r>
        <w:rPr>
          <w:rFonts w:ascii="Arial" w:hAnsi="Arial" w:cs="Arial"/>
          <w:b/>
          <w:bCs w:val="0"/>
          <w:sz w:val="21"/>
          <w:szCs w:val="21"/>
          <w:lang w:val="en-US"/>
        </w:rPr>
        <w:t>Cabling charges</w:t>
      </w:r>
    </w:p>
    <w:p w14:paraId="7F5E37F7" w14:textId="77777777" w:rsidR="00D43DC8" w:rsidRDefault="00A96FCC">
      <w:pPr>
        <w:pStyle w:val="Heading2"/>
      </w:pPr>
      <w:bookmarkStart w:id="44" w:name="_Ref128984791"/>
      <w:r>
        <w:t xml:space="preserve">If you signed up for your service before 1 November 2012, we </w:t>
      </w:r>
      <w:r w:rsidR="00D43DC8">
        <w:t>charge you for providing and installing cabling to your site beyond the standard service delivery point on the following basis:</w:t>
      </w:r>
      <w:bookmarkEnd w:id="44"/>
    </w:p>
    <w:tbl>
      <w:tblPr>
        <w:tblW w:w="5954" w:type="dxa"/>
        <w:tblInd w:w="7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536"/>
        <w:gridCol w:w="1418"/>
      </w:tblGrid>
      <w:tr w:rsidR="00D43DC8" w14:paraId="4D8A1C05" w14:textId="77777777">
        <w:tblPrEx>
          <w:tblCellMar>
            <w:top w:w="0" w:type="dxa"/>
            <w:bottom w:w="0" w:type="dxa"/>
          </w:tblCellMar>
        </w:tblPrEx>
        <w:trPr>
          <w:trHeight w:val="247"/>
          <w:tblHeader/>
        </w:trPr>
        <w:tc>
          <w:tcPr>
            <w:tcW w:w="4536" w:type="dxa"/>
          </w:tcPr>
          <w:p w14:paraId="5C95FD22" w14:textId="77777777" w:rsidR="00D43DC8" w:rsidRDefault="00B11B61">
            <w:pPr>
              <w:keepNext/>
              <w:spacing w:before="120" w:after="120"/>
              <w:rPr>
                <w:rFonts w:ascii="Arial" w:hAnsi="Arial" w:cs="Arial"/>
                <w:snapToGrid w:val="0"/>
                <w:sz w:val="18"/>
              </w:rPr>
            </w:pPr>
            <w:r w:rsidRPr="00B11B61">
              <w:rPr>
                <w:rFonts w:ascii="Arial" w:hAnsi="Arial"/>
                <w:b/>
                <w:sz w:val="18"/>
                <w:szCs w:val="18"/>
              </w:rPr>
              <w:t>Cabling charges</w:t>
            </w:r>
            <w:r w:rsidR="00D43DC8">
              <w:rPr>
                <w:rFonts w:ascii="Arial" w:hAnsi="Arial"/>
                <w:b/>
              </w:rPr>
              <w:t xml:space="preserve"> </w:t>
            </w:r>
          </w:p>
        </w:tc>
        <w:tc>
          <w:tcPr>
            <w:tcW w:w="1418" w:type="dxa"/>
          </w:tcPr>
          <w:p w14:paraId="011CEBAE" w14:textId="77777777" w:rsidR="00D43DC8" w:rsidRDefault="00D43DC8" w:rsidP="00EC226F">
            <w:pPr>
              <w:keepNext/>
              <w:spacing w:before="120" w:after="120"/>
              <w:rPr>
                <w:rFonts w:ascii="Arial" w:hAnsi="Arial" w:cs="Arial"/>
                <w:b/>
                <w:snapToGrid w:val="0"/>
                <w:sz w:val="18"/>
              </w:rPr>
            </w:pPr>
            <w:r>
              <w:rPr>
                <w:rFonts w:ascii="Arial" w:hAnsi="Arial" w:cs="Arial"/>
                <w:b/>
                <w:snapToGrid w:val="0"/>
                <w:sz w:val="18"/>
              </w:rPr>
              <w:t>GST excl.</w:t>
            </w:r>
          </w:p>
        </w:tc>
      </w:tr>
      <w:tr w:rsidR="00D43DC8" w14:paraId="6FA4DA17" w14:textId="77777777">
        <w:tblPrEx>
          <w:tblCellMar>
            <w:top w:w="0" w:type="dxa"/>
            <w:bottom w:w="0" w:type="dxa"/>
          </w:tblCellMar>
        </w:tblPrEx>
        <w:trPr>
          <w:trHeight w:val="247"/>
        </w:trPr>
        <w:tc>
          <w:tcPr>
            <w:tcW w:w="4536" w:type="dxa"/>
          </w:tcPr>
          <w:p w14:paraId="4661D34B" w14:textId="77777777" w:rsidR="00D43DC8" w:rsidRDefault="00D43DC8">
            <w:pPr>
              <w:pStyle w:val="NormalIndent"/>
              <w:spacing w:before="120" w:after="120"/>
              <w:ind w:left="0"/>
              <w:rPr>
                <w:rFonts w:ascii="Arial" w:hAnsi="Arial" w:cs="Arial"/>
                <w:snapToGrid w:val="0"/>
                <w:sz w:val="18"/>
              </w:rPr>
            </w:pPr>
            <w:r>
              <w:rPr>
                <w:rFonts w:ascii="Arial" w:hAnsi="Arial" w:cs="Arial"/>
                <w:snapToGrid w:val="0"/>
                <w:sz w:val="18"/>
              </w:rPr>
              <w:t>Riser-Category 5 or 6 cable up to 4 floors</w:t>
            </w:r>
          </w:p>
        </w:tc>
        <w:tc>
          <w:tcPr>
            <w:tcW w:w="1418" w:type="dxa"/>
          </w:tcPr>
          <w:p w14:paraId="31F3C3A2" w14:textId="77777777" w:rsidR="00D43DC8" w:rsidRDefault="00D43DC8" w:rsidP="00EC226F">
            <w:pPr>
              <w:spacing w:before="120" w:after="120"/>
              <w:jc w:val="right"/>
              <w:rPr>
                <w:rFonts w:ascii="Arial" w:hAnsi="Arial" w:cs="Arial"/>
                <w:b/>
                <w:snapToGrid w:val="0"/>
                <w:sz w:val="18"/>
                <w:szCs w:val="18"/>
              </w:rPr>
            </w:pPr>
            <w:r>
              <w:rPr>
                <w:rFonts w:ascii="Arial" w:hAnsi="Arial" w:cs="Arial"/>
                <w:b/>
                <w:sz w:val="18"/>
                <w:szCs w:val="18"/>
                <w:lang w:val="en-GB"/>
              </w:rPr>
              <w:t>$720.00</w:t>
            </w:r>
          </w:p>
        </w:tc>
      </w:tr>
      <w:tr w:rsidR="00D43DC8" w14:paraId="420E79D6" w14:textId="77777777">
        <w:tblPrEx>
          <w:tblCellMar>
            <w:top w:w="0" w:type="dxa"/>
            <w:bottom w:w="0" w:type="dxa"/>
          </w:tblCellMar>
        </w:tblPrEx>
        <w:trPr>
          <w:trHeight w:val="247"/>
        </w:trPr>
        <w:tc>
          <w:tcPr>
            <w:tcW w:w="4536" w:type="dxa"/>
          </w:tcPr>
          <w:p w14:paraId="224FA60F" w14:textId="77777777" w:rsidR="00D43DC8" w:rsidRDefault="00D43DC8">
            <w:pPr>
              <w:pStyle w:val="NormalIndent"/>
              <w:spacing w:before="120" w:after="120"/>
              <w:ind w:left="0"/>
              <w:rPr>
                <w:rFonts w:ascii="Arial" w:hAnsi="Arial" w:cs="Arial"/>
                <w:snapToGrid w:val="0"/>
                <w:sz w:val="18"/>
              </w:rPr>
            </w:pPr>
            <w:r>
              <w:rPr>
                <w:rFonts w:ascii="Arial" w:hAnsi="Arial" w:cs="Arial"/>
                <w:snapToGrid w:val="0"/>
                <w:sz w:val="18"/>
              </w:rPr>
              <w:t>Riser-Category 5 or 6 cable up to 10 floors</w:t>
            </w:r>
          </w:p>
        </w:tc>
        <w:tc>
          <w:tcPr>
            <w:tcW w:w="1418" w:type="dxa"/>
          </w:tcPr>
          <w:p w14:paraId="64A2511C" w14:textId="77777777" w:rsidR="00D43DC8" w:rsidRDefault="00D43DC8" w:rsidP="00EC226F">
            <w:pPr>
              <w:spacing w:before="120" w:after="120"/>
              <w:jc w:val="right"/>
              <w:rPr>
                <w:rFonts w:ascii="Arial" w:hAnsi="Arial" w:cs="Arial"/>
                <w:b/>
                <w:snapToGrid w:val="0"/>
                <w:sz w:val="18"/>
                <w:szCs w:val="18"/>
              </w:rPr>
            </w:pPr>
            <w:r>
              <w:rPr>
                <w:rFonts w:ascii="Arial" w:hAnsi="Arial" w:cs="Arial"/>
                <w:b/>
                <w:sz w:val="18"/>
                <w:szCs w:val="18"/>
                <w:lang w:val="en-GB"/>
              </w:rPr>
              <w:t>$1</w:t>
            </w:r>
            <w:r w:rsidR="001C1DAC">
              <w:rPr>
                <w:rFonts w:ascii="Arial" w:hAnsi="Arial" w:cs="Arial"/>
                <w:b/>
                <w:sz w:val="18"/>
                <w:szCs w:val="18"/>
                <w:lang w:val="en-GB"/>
              </w:rPr>
              <w:t>,</w:t>
            </w:r>
            <w:r>
              <w:rPr>
                <w:rFonts w:ascii="Arial" w:hAnsi="Arial" w:cs="Arial"/>
                <w:b/>
                <w:sz w:val="18"/>
                <w:szCs w:val="18"/>
                <w:lang w:val="en-GB"/>
              </w:rPr>
              <w:t>065.00</w:t>
            </w:r>
          </w:p>
        </w:tc>
      </w:tr>
      <w:tr w:rsidR="00D43DC8" w14:paraId="74C062E3" w14:textId="77777777">
        <w:tblPrEx>
          <w:tblCellMar>
            <w:top w:w="0" w:type="dxa"/>
            <w:bottom w:w="0" w:type="dxa"/>
          </w:tblCellMar>
        </w:tblPrEx>
        <w:trPr>
          <w:trHeight w:val="247"/>
        </w:trPr>
        <w:tc>
          <w:tcPr>
            <w:tcW w:w="4536" w:type="dxa"/>
          </w:tcPr>
          <w:p w14:paraId="4064D857" w14:textId="77777777" w:rsidR="00D43DC8" w:rsidRDefault="00D43DC8">
            <w:pPr>
              <w:pStyle w:val="NormalIndent"/>
              <w:spacing w:before="120" w:after="120"/>
              <w:ind w:left="0"/>
              <w:rPr>
                <w:rFonts w:ascii="Arial" w:hAnsi="Arial" w:cs="Arial"/>
                <w:snapToGrid w:val="0"/>
                <w:sz w:val="18"/>
              </w:rPr>
            </w:pPr>
            <w:r>
              <w:rPr>
                <w:rFonts w:ascii="Arial" w:hAnsi="Arial" w:cs="Arial"/>
                <w:snapToGrid w:val="0"/>
                <w:sz w:val="18"/>
              </w:rPr>
              <w:t>Riser-MMOF/SMOF cable up to 4 floors</w:t>
            </w:r>
          </w:p>
        </w:tc>
        <w:tc>
          <w:tcPr>
            <w:tcW w:w="1418" w:type="dxa"/>
          </w:tcPr>
          <w:p w14:paraId="77CC5406" w14:textId="77777777" w:rsidR="00D43DC8" w:rsidRDefault="00D43DC8" w:rsidP="00EC226F">
            <w:pPr>
              <w:spacing w:before="120" w:after="120"/>
              <w:jc w:val="right"/>
              <w:rPr>
                <w:rFonts w:ascii="Arial" w:hAnsi="Arial" w:cs="Arial"/>
                <w:b/>
                <w:snapToGrid w:val="0"/>
                <w:sz w:val="18"/>
                <w:szCs w:val="18"/>
              </w:rPr>
            </w:pPr>
            <w:r>
              <w:rPr>
                <w:rFonts w:ascii="Arial" w:hAnsi="Arial" w:cs="Arial"/>
                <w:b/>
                <w:snapToGrid w:val="0"/>
                <w:sz w:val="18"/>
                <w:szCs w:val="18"/>
              </w:rPr>
              <w:t>$1,450.00</w:t>
            </w:r>
          </w:p>
        </w:tc>
      </w:tr>
      <w:tr w:rsidR="00D43DC8" w14:paraId="5C4BD4FF" w14:textId="77777777">
        <w:tblPrEx>
          <w:tblCellMar>
            <w:top w:w="0" w:type="dxa"/>
            <w:bottom w:w="0" w:type="dxa"/>
          </w:tblCellMar>
        </w:tblPrEx>
        <w:trPr>
          <w:trHeight w:val="247"/>
        </w:trPr>
        <w:tc>
          <w:tcPr>
            <w:tcW w:w="4536" w:type="dxa"/>
          </w:tcPr>
          <w:p w14:paraId="139E9049" w14:textId="77777777" w:rsidR="00D43DC8" w:rsidRDefault="00D43DC8">
            <w:pPr>
              <w:pStyle w:val="NormalIndent"/>
              <w:spacing w:before="120" w:after="120"/>
              <w:ind w:left="0"/>
              <w:rPr>
                <w:rFonts w:ascii="Arial" w:hAnsi="Arial" w:cs="Arial"/>
                <w:snapToGrid w:val="0"/>
                <w:sz w:val="18"/>
              </w:rPr>
            </w:pPr>
            <w:r>
              <w:rPr>
                <w:rFonts w:ascii="Arial" w:hAnsi="Arial" w:cs="Arial"/>
                <w:snapToGrid w:val="0"/>
                <w:sz w:val="18"/>
              </w:rPr>
              <w:lastRenderedPageBreak/>
              <w:t>Riser-MMOF/SMO</w:t>
            </w:r>
            <w:r w:rsidR="00B11B61">
              <w:rPr>
                <w:rFonts w:ascii="Arial" w:hAnsi="Arial" w:cs="Arial"/>
                <w:snapToGrid w:val="0"/>
                <w:sz w:val="18"/>
              </w:rPr>
              <w:t>F</w:t>
            </w:r>
            <w:r>
              <w:rPr>
                <w:rFonts w:ascii="Arial" w:hAnsi="Arial" w:cs="Arial"/>
                <w:snapToGrid w:val="0"/>
                <w:sz w:val="18"/>
              </w:rPr>
              <w:t xml:space="preserve"> cable up to 10 floors</w:t>
            </w:r>
          </w:p>
        </w:tc>
        <w:tc>
          <w:tcPr>
            <w:tcW w:w="1418" w:type="dxa"/>
          </w:tcPr>
          <w:p w14:paraId="4511F0B3" w14:textId="77777777" w:rsidR="00D43DC8" w:rsidRDefault="00D43DC8" w:rsidP="00EC226F">
            <w:pPr>
              <w:spacing w:before="120" w:after="120"/>
              <w:jc w:val="right"/>
              <w:rPr>
                <w:rFonts w:ascii="Arial" w:hAnsi="Arial" w:cs="Arial"/>
                <w:b/>
                <w:snapToGrid w:val="0"/>
                <w:sz w:val="18"/>
                <w:szCs w:val="18"/>
              </w:rPr>
            </w:pPr>
            <w:r>
              <w:rPr>
                <w:rFonts w:ascii="Arial" w:hAnsi="Arial" w:cs="Arial"/>
                <w:b/>
                <w:snapToGrid w:val="0"/>
                <w:sz w:val="18"/>
                <w:szCs w:val="18"/>
              </w:rPr>
              <w:t>$1,750.00</w:t>
            </w:r>
          </w:p>
        </w:tc>
      </w:tr>
      <w:tr w:rsidR="00D43DC8" w14:paraId="00E316A6" w14:textId="77777777">
        <w:tblPrEx>
          <w:tblCellMar>
            <w:top w:w="0" w:type="dxa"/>
            <w:bottom w:w="0" w:type="dxa"/>
          </w:tblCellMar>
        </w:tblPrEx>
        <w:trPr>
          <w:trHeight w:val="247"/>
        </w:trPr>
        <w:tc>
          <w:tcPr>
            <w:tcW w:w="4536" w:type="dxa"/>
          </w:tcPr>
          <w:p w14:paraId="64372FE6" w14:textId="77777777" w:rsidR="00D43DC8" w:rsidRDefault="00D43DC8">
            <w:pPr>
              <w:pStyle w:val="NormalIndent"/>
              <w:spacing w:before="120" w:after="120"/>
              <w:ind w:left="0"/>
              <w:rPr>
                <w:rFonts w:ascii="Arial" w:hAnsi="Arial" w:cs="Arial"/>
                <w:snapToGrid w:val="0"/>
                <w:sz w:val="18"/>
              </w:rPr>
            </w:pPr>
            <w:r>
              <w:rPr>
                <w:rFonts w:ascii="Arial" w:hAnsi="Arial" w:cs="Arial"/>
                <w:snapToGrid w:val="0"/>
                <w:sz w:val="18"/>
              </w:rPr>
              <w:t>Riser-MMOF/SMOF cable per additional 5 floors</w:t>
            </w:r>
          </w:p>
        </w:tc>
        <w:tc>
          <w:tcPr>
            <w:tcW w:w="1418" w:type="dxa"/>
          </w:tcPr>
          <w:p w14:paraId="34356EA9" w14:textId="77777777" w:rsidR="00D43DC8" w:rsidRDefault="00D43DC8" w:rsidP="00EC226F">
            <w:pPr>
              <w:spacing w:before="120" w:after="120"/>
              <w:jc w:val="right"/>
              <w:rPr>
                <w:rFonts w:ascii="Arial" w:hAnsi="Arial" w:cs="Arial"/>
                <w:b/>
                <w:snapToGrid w:val="0"/>
                <w:sz w:val="18"/>
                <w:szCs w:val="18"/>
              </w:rPr>
            </w:pPr>
            <w:r>
              <w:rPr>
                <w:rFonts w:ascii="Arial" w:hAnsi="Arial" w:cs="Arial"/>
                <w:b/>
                <w:snapToGrid w:val="0"/>
                <w:sz w:val="18"/>
                <w:szCs w:val="18"/>
              </w:rPr>
              <w:t>$454.00</w:t>
            </w:r>
          </w:p>
        </w:tc>
      </w:tr>
      <w:tr w:rsidR="00D43DC8" w14:paraId="7E833535" w14:textId="77777777">
        <w:tblPrEx>
          <w:tblCellMar>
            <w:top w:w="0" w:type="dxa"/>
            <w:bottom w:w="0" w:type="dxa"/>
          </w:tblCellMar>
        </w:tblPrEx>
        <w:trPr>
          <w:trHeight w:val="247"/>
        </w:trPr>
        <w:tc>
          <w:tcPr>
            <w:tcW w:w="4536" w:type="dxa"/>
          </w:tcPr>
          <w:p w14:paraId="22E89C33" w14:textId="77777777" w:rsidR="00D43DC8" w:rsidRDefault="00D43DC8">
            <w:pPr>
              <w:pStyle w:val="NormalIndent"/>
              <w:spacing w:before="120" w:after="120"/>
              <w:ind w:left="0"/>
              <w:rPr>
                <w:rFonts w:ascii="Arial" w:hAnsi="Arial" w:cs="Arial"/>
                <w:snapToGrid w:val="0"/>
                <w:sz w:val="18"/>
              </w:rPr>
            </w:pPr>
            <w:r>
              <w:rPr>
                <w:rFonts w:ascii="Arial" w:hAnsi="Arial" w:cs="Arial"/>
                <w:snapToGrid w:val="0"/>
                <w:sz w:val="18"/>
              </w:rPr>
              <w:t>25m lateral Category 5e or 6 cable</w:t>
            </w:r>
          </w:p>
        </w:tc>
        <w:tc>
          <w:tcPr>
            <w:tcW w:w="1418" w:type="dxa"/>
          </w:tcPr>
          <w:p w14:paraId="50BD055A" w14:textId="77777777" w:rsidR="00D43DC8" w:rsidRDefault="00D43DC8" w:rsidP="00EC226F">
            <w:pPr>
              <w:spacing w:before="120" w:after="120"/>
              <w:jc w:val="right"/>
              <w:rPr>
                <w:rFonts w:ascii="Arial" w:hAnsi="Arial" w:cs="Arial"/>
                <w:b/>
                <w:snapToGrid w:val="0"/>
                <w:sz w:val="18"/>
                <w:szCs w:val="18"/>
              </w:rPr>
            </w:pPr>
            <w:r>
              <w:rPr>
                <w:rFonts w:ascii="Arial" w:hAnsi="Arial" w:cs="Arial"/>
                <w:b/>
                <w:snapToGrid w:val="0"/>
                <w:sz w:val="18"/>
                <w:szCs w:val="18"/>
              </w:rPr>
              <w:t>$255.00</w:t>
            </w:r>
          </w:p>
        </w:tc>
      </w:tr>
      <w:tr w:rsidR="00D43DC8" w14:paraId="2A54C114" w14:textId="77777777">
        <w:tblPrEx>
          <w:tblCellMar>
            <w:top w:w="0" w:type="dxa"/>
            <w:bottom w:w="0" w:type="dxa"/>
          </w:tblCellMar>
        </w:tblPrEx>
        <w:trPr>
          <w:trHeight w:val="247"/>
        </w:trPr>
        <w:tc>
          <w:tcPr>
            <w:tcW w:w="4536" w:type="dxa"/>
          </w:tcPr>
          <w:p w14:paraId="0A9D1CCE" w14:textId="77777777" w:rsidR="00D43DC8" w:rsidRDefault="00D43DC8">
            <w:pPr>
              <w:pStyle w:val="NormalIndent"/>
              <w:spacing w:before="120" w:after="120"/>
              <w:ind w:left="0"/>
              <w:rPr>
                <w:rFonts w:ascii="Arial" w:hAnsi="Arial" w:cs="Arial"/>
                <w:snapToGrid w:val="0"/>
                <w:sz w:val="18"/>
              </w:rPr>
            </w:pPr>
            <w:r>
              <w:rPr>
                <w:rFonts w:ascii="Arial" w:hAnsi="Arial" w:cs="Arial"/>
                <w:snapToGrid w:val="0"/>
                <w:sz w:val="18"/>
              </w:rPr>
              <w:t>50m lateral Category 5e or 6 cable</w:t>
            </w:r>
          </w:p>
        </w:tc>
        <w:tc>
          <w:tcPr>
            <w:tcW w:w="1418" w:type="dxa"/>
          </w:tcPr>
          <w:p w14:paraId="4866C9B3" w14:textId="77777777" w:rsidR="00D43DC8" w:rsidRDefault="00D43DC8" w:rsidP="00EC226F">
            <w:pPr>
              <w:spacing w:before="120" w:after="120"/>
              <w:jc w:val="right"/>
              <w:rPr>
                <w:rFonts w:ascii="Arial" w:hAnsi="Arial" w:cs="Arial"/>
                <w:b/>
                <w:snapToGrid w:val="0"/>
                <w:sz w:val="18"/>
                <w:szCs w:val="18"/>
              </w:rPr>
            </w:pPr>
            <w:r>
              <w:rPr>
                <w:rFonts w:ascii="Arial" w:hAnsi="Arial" w:cs="Arial"/>
                <w:b/>
                <w:snapToGrid w:val="0"/>
                <w:sz w:val="18"/>
                <w:szCs w:val="18"/>
              </w:rPr>
              <w:t>$510.00</w:t>
            </w:r>
          </w:p>
        </w:tc>
      </w:tr>
      <w:tr w:rsidR="00D43DC8" w14:paraId="7447BE18" w14:textId="77777777">
        <w:tblPrEx>
          <w:tblCellMar>
            <w:top w:w="0" w:type="dxa"/>
            <w:bottom w:w="0" w:type="dxa"/>
          </w:tblCellMar>
        </w:tblPrEx>
        <w:trPr>
          <w:trHeight w:val="247"/>
        </w:trPr>
        <w:tc>
          <w:tcPr>
            <w:tcW w:w="4536" w:type="dxa"/>
          </w:tcPr>
          <w:p w14:paraId="107FE912" w14:textId="77777777" w:rsidR="00D43DC8" w:rsidRDefault="00D43DC8">
            <w:pPr>
              <w:pStyle w:val="NormalIndent"/>
              <w:spacing w:before="120" w:after="120"/>
              <w:ind w:left="0"/>
              <w:rPr>
                <w:rFonts w:ascii="Arial" w:hAnsi="Arial" w:cs="Arial"/>
                <w:snapToGrid w:val="0"/>
                <w:sz w:val="18"/>
              </w:rPr>
            </w:pPr>
            <w:r>
              <w:rPr>
                <w:rFonts w:ascii="Arial" w:hAnsi="Arial" w:cs="Arial"/>
                <w:snapToGrid w:val="0"/>
                <w:sz w:val="18"/>
              </w:rPr>
              <w:t>25m lateral MMOF/SMOF cable</w:t>
            </w:r>
          </w:p>
        </w:tc>
        <w:tc>
          <w:tcPr>
            <w:tcW w:w="1418" w:type="dxa"/>
          </w:tcPr>
          <w:p w14:paraId="161D11FC" w14:textId="77777777" w:rsidR="00D43DC8" w:rsidRDefault="00D43DC8" w:rsidP="00EC226F">
            <w:pPr>
              <w:spacing w:before="120" w:after="120"/>
              <w:jc w:val="right"/>
              <w:rPr>
                <w:rFonts w:ascii="Arial" w:hAnsi="Arial" w:cs="Arial"/>
                <w:b/>
                <w:snapToGrid w:val="0"/>
                <w:sz w:val="18"/>
                <w:szCs w:val="18"/>
              </w:rPr>
            </w:pPr>
            <w:r>
              <w:rPr>
                <w:rFonts w:ascii="Arial" w:hAnsi="Arial" w:cs="Arial"/>
                <w:b/>
                <w:snapToGrid w:val="0"/>
                <w:sz w:val="18"/>
                <w:szCs w:val="18"/>
              </w:rPr>
              <w:t>$360.00</w:t>
            </w:r>
          </w:p>
        </w:tc>
      </w:tr>
      <w:tr w:rsidR="00D43DC8" w14:paraId="086CE61A" w14:textId="77777777">
        <w:tblPrEx>
          <w:tblCellMar>
            <w:top w:w="0" w:type="dxa"/>
            <w:bottom w:w="0" w:type="dxa"/>
          </w:tblCellMar>
        </w:tblPrEx>
        <w:trPr>
          <w:trHeight w:val="247"/>
        </w:trPr>
        <w:tc>
          <w:tcPr>
            <w:tcW w:w="4536" w:type="dxa"/>
          </w:tcPr>
          <w:p w14:paraId="7F549ED8" w14:textId="77777777" w:rsidR="00D43DC8" w:rsidRDefault="00D43DC8">
            <w:pPr>
              <w:pStyle w:val="NormalIndent"/>
              <w:spacing w:before="120" w:after="120"/>
              <w:ind w:left="0"/>
              <w:rPr>
                <w:rFonts w:ascii="Arial" w:hAnsi="Arial" w:cs="Arial"/>
                <w:snapToGrid w:val="0"/>
                <w:sz w:val="18"/>
              </w:rPr>
            </w:pPr>
            <w:r>
              <w:rPr>
                <w:rFonts w:ascii="Arial" w:hAnsi="Arial" w:cs="Arial"/>
                <w:snapToGrid w:val="0"/>
                <w:sz w:val="18"/>
              </w:rPr>
              <w:t>50m lateral MMOF/SMOF cable</w:t>
            </w:r>
          </w:p>
        </w:tc>
        <w:tc>
          <w:tcPr>
            <w:tcW w:w="1418" w:type="dxa"/>
          </w:tcPr>
          <w:p w14:paraId="6C5EB5AF" w14:textId="77777777" w:rsidR="00D43DC8" w:rsidRDefault="00D43DC8" w:rsidP="00EC226F">
            <w:pPr>
              <w:spacing w:before="120" w:after="120"/>
              <w:jc w:val="right"/>
              <w:rPr>
                <w:rFonts w:ascii="Arial" w:hAnsi="Arial" w:cs="Arial"/>
                <w:b/>
                <w:snapToGrid w:val="0"/>
                <w:sz w:val="18"/>
                <w:szCs w:val="18"/>
              </w:rPr>
            </w:pPr>
            <w:r>
              <w:rPr>
                <w:rFonts w:ascii="Arial" w:hAnsi="Arial" w:cs="Arial"/>
                <w:b/>
                <w:snapToGrid w:val="0"/>
                <w:sz w:val="18"/>
                <w:szCs w:val="18"/>
              </w:rPr>
              <w:t>$715.00</w:t>
            </w:r>
          </w:p>
        </w:tc>
      </w:tr>
    </w:tbl>
    <w:p w14:paraId="54C419BC" w14:textId="77777777" w:rsidR="00A96FCC" w:rsidRDefault="00A96FCC" w:rsidP="00A96FCC">
      <w:pPr>
        <w:pStyle w:val="Heading2"/>
        <w:spacing w:before="240"/>
        <w:rPr>
          <w:bCs w:val="0"/>
        </w:rPr>
      </w:pPr>
      <w:r w:rsidRPr="001214B0">
        <w:rPr>
          <w:bCs w:val="0"/>
        </w:rPr>
        <w:t>If</w:t>
      </w:r>
      <w:r>
        <w:rPr>
          <w:bCs w:val="0"/>
        </w:rPr>
        <w:t xml:space="preserve"> you signed up for your service on and from 1 November 2012, our charges for </w:t>
      </w:r>
      <w:r>
        <w:t>providing and installing cabling to your site beyond the standard service delivery point will be confirmed on request.</w:t>
      </w:r>
    </w:p>
    <w:p w14:paraId="021C142C" w14:textId="77777777" w:rsidR="00D43DC8" w:rsidRDefault="00D43DC8">
      <w:pPr>
        <w:pStyle w:val="Indent1"/>
      </w:pPr>
      <w:bookmarkStart w:id="45" w:name="_Toc477170887"/>
      <w:r>
        <w:t>Network extension charges</w:t>
      </w:r>
      <w:bookmarkEnd w:id="42"/>
      <w:bookmarkEnd w:id="45"/>
    </w:p>
    <w:p w14:paraId="0A3E8B6B" w14:textId="77777777" w:rsidR="00D43DC8" w:rsidRDefault="00D43DC8">
      <w:pPr>
        <w:pStyle w:val="Heading2"/>
      </w:pPr>
      <w:bookmarkStart w:id="46" w:name="_Toc66857426"/>
      <w:bookmarkStart w:id="47" w:name="_Toc67373841"/>
      <w:bookmarkStart w:id="48" w:name="_Toc69101267"/>
      <w:bookmarkStart w:id="49" w:name="_Toc74541770"/>
      <w:r>
        <w:t xml:space="preserve">Where your new service will be supplied by cable and your property entry point is more than 500 metres from the nearest part of our existing network to be used to connect your service, we can charge you our fee-for-service charges to lay cable from our existing network to your property entry point.  We charge you beyond the first 500 metres.  We will tell you this cost and get your consent before we start work.  </w:t>
      </w:r>
    </w:p>
    <w:p w14:paraId="1C773A87" w14:textId="77777777" w:rsidR="00D43DC8" w:rsidRDefault="00D05A1F">
      <w:pPr>
        <w:pStyle w:val="Heading7"/>
        <w:ind w:left="737"/>
      </w:pPr>
      <w:r>
        <w:t xml:space="preserve">For fee-for-service charges see the </w:t>
      </w:r>
      <w:hyperlink r:id="rId16" w:history="1">
        <w:r w:rsidRPr="00D05A1F">
          <w:rPr>
            <w:rStyle w:val="Hyperlink"/>
          </w:rPr>
          <w:t>Fee-for-Service (Other work we do for you) section</w:t>
        </w:r>
      </w:hyperlink>
      <w:r>
        <w:t xml:space="preserve"> of Our Customer Terms</w:t>
      </w:r>
      <w:r w:rsidR="00D43DC8">
        <w:t>.</w:t>
      </w:r>
    </w:p>
    <w:p w14:paraId="250D0F6C" w14:textId="77777777" w:rsidR="00D43DC8" w:rsidRDefault="00D43DC8">
      <w:pPr>
        <w:pStyle w:val="Indent1"/>
      </w:pPr>
      <w:bookmarkStart w:id="50" w:name="_Toc74541771"/>
      <w:bookmarkStart w:id="51" w:name="_Toc477170888"/>
      <w:bookmarkEnd w:id="46"/>
      <w:bookmarkEnd w:id="47"/>
      <w:bookmarkEnd w:id="48"/>
      <w:bookmarkEnd w:id="49"/>
      <w:r>
        <w:t>Service extension charges</w:t>
      </w:r>
      <w:bookmarkEnd w:id="50"/>
      <w:bookmarkEnd w:id="51"/>
    </w:p>
    <w:p w14:paraId="01156A48" w14:textId="77777777" w:rsidR="00D43DC8" w:rsidRDefault="00D43DC8">
      <w:pPr>
        <w:pStyle w:val="Heading2"/>
      </w:pPr>
      <w:r>
        <w:t>We can charge you our fee-for-service charges for installing alternative cabling where you occupy premises for which our network boundary is a main distribution frame (or MDF) and:</w:t>
      </w:r>
    </w:p>
    <w:p w14:paraId="2D9B054A" w14:textId="77777777" w:rsidR="00D43DC8" w:rsidRDefault="00D43DC8">
      <w:pPr>
        <w:pStyle w:val="Heading3"/>
      </w:pPr>
      <w:r>
        <w:t>there is no suitable spare capacity in the cabling system at the premises to extend cabling from the MDF to the location you request; or</w:t>
      </w:r>
    </w:p>
    <w:p w14:paraId="2F26C1C3" w14:textId="77777777" w:rsidR="00D43DC8" w:rsidRDefault="00D43DC8">
      <w:pPr>
        <w:pStyle w:val="Heading3"/>
      </w:pPr>
      <w:r>
        <w:t>you do not want your service to be connected through the MDF.</w:t>
      </w:r>
    </w:p>
    <w:p w14:paraId="7CE42350" w14:textId="77777777" w:rsidR="00D43DC8" w:rsidRDefault="00D05A1F">
      <w:pPr>
        <w:pStyle w:val="Heading7"/>
        <w:ind w:left="737"/>
      </w:pPr>
      <w:r>
        <w:t xml:space="preserve">For fee-for-service charges see the </w:t>
      </w:r>
      <w:hyperlink r:id="rId17" w:history="1">
        <w:r w:rsidRPr="00D05A1F">
          <w:rPr>
            <w:rStyle w:val="Hyperlink"/>
          </w:rPr>
          <w:t>Fee-for-Service (Other work we do for you) section</w:t>
        </w:r>
      </w:hyperlink>
      <w:r>
        <w:t xml:space="preserve"> of Our Customer Terms</w:t>
      </w:r>
      <w:r w:rsidR="00D43DC8">
        <w:t>.</w:t>
      </w:r>
    </w:p>
    <w:p w14:paraId="572BAD38" w14:textId="77777777" w:rsidR="00D43DC8" w:rsidRDefault="00D43DC8">
      <w:pPr>
        <w:pStyle w:val="Heading1"/>
        <w:keepNext w:val="0"/>
      </w:pPr>
      <w:bookmarkStart w:id="52" w:name="_Toc477170889"/>
      <w:r>
        <w:t>Charges – single uplink</w:t>
      </w:r>
      <w:bookmarkEnd w:id="52"/>
    </w:p>
    <w:p w14:paraId="41A1329B" w14:textId="77777777" w:rsidR="00D43DC8" w:rsidRDefault="00D43DC8">
      <w:pPr>
        <w:pStyle w:val="Indent1"/>
      </w:pPr>
      <w:bookmarkStart w:id="53" w:name="_Toc477170890"/>
      <w:r>
        <w:lastRenderedPageBreak/>
        <w:t>Monthly link bandwidth charges – to CBD</w:t>
      </w:r>
      <w:r>
        <w:t xml:space="preserve"> and business zones</w:t>
      </w:r>
      <w:bookmarkEnd w:id="53"/>
    </w:p>
    <w:p w14:paraId="601F4869" w14:textId="77777777" w:rsidR="00D43DC8" w:rsidRDefault="00D43DC8">
      <w:pPr>
        <w:pStyle w:val="Heading2"/>
      </w:pPr>
      <w:r>
        <w:t>We charge you the following monthly charge for using a link to either a Central Business district zone or a Business zone for Ethernet MAN single uplink:</w:t>
      </w:r>
    </w:p>
    <w:tbl>
      <w:tblPr>
        <w:tblW w:w="6804"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1699"/>
        <w:gridCol w:w="1700"/>
        <w:gridCol w:w="1700"/>
        <w:gridCol w:w="6"/>
      </w:tblGrid>
      <w:tr w:rsidR="00D43DC8" w14:paraId="7F4711BA" w14:textId="77777777">
        <w:tblPrEx>
          <w:tblCellMar>
            <w:top w:w="0" w:type="dxa"/>
            <w:bottom w:w="0" w:type="dxa"/>
          </w:tblCellMar>
        </w:tblPrEx>
        <w:trPr>
          <w:gridAfter w:val="1"/>
          <w:wAfter w:w="6" w:type="dxa"/>
          <w:trHeight w:val="486"/>
          <w:tblHeader/>
        </w:trPr>
        <w:tc>
          <w:tcPr>
            <w:tcW w:w="6798" w:type="dxa"/>
            <w:gridSpan w:val="4"/>
          </w:tcPr>
          <w:p w14:paraId="2B29D7C3" w14:textId="77777777" w:rsidR="00D43DC8" w:rsidRDefault="00D43DC8">
            <w:pPr>
              <w:keepNext/>
              <w:spacing w:before="120" w:after="120"/>
              <w:rPr>
                <w:rFonts w:ascii="Arial" w:hAnsi="Arial" w:cs="Arial"/>
                <w:sz w:val="18"/>
              </w:rPr>
            </w:pPr>
            <w:r>
              <w:rPr>
                <w:rFonts w:ascii="Arial" w:hAnsi="Arial" w:cs="Arial"/>
                <w:b/>
                <w:sz w:val="18"/>
              </w:rPr>
              <w:t>Monthly link bandwidth charges – Ethernet MAN single uplink</w:t>
            </w:r>
          </w:p>
        </w:tc>
      </w:tr>
      <w:tr w:rsidR="00D43DC8" w14:paraId="385DDB44" w14:textId="77777777">
        <w:tblPrEx>
          <w:tblCellMar>
            <w:top w:w="0" w:type="dxa"/>
            <w:bottom w:w="0" w:type="dxa"/>
          </w:tblCellMar>
        </w:tblPrEx>
        <w:trPr>
          <w:gridAfter w:val="1"/>
          <w:wAfter w:w="6" w:type="dxa"/>
          <w:trHeight w:val="525"/>
          <w:tblHeader/>
        </w:trPr>
        <w:tc>
          <w:tcPr>
            <w:tcW w:w="1699" w:type="dxa"/>
            <w:tcBorders>
              <w:bottom w:val="nil"/>
            </w:tcBorders>
          </w:tcPr>
          <w:p w14:paraId="64800E1F" w14:textId="77777777" w:rsidR="00D43DC8" w:rsidRDefault="00D43DC8">
            <w:pPr>
              <w:keepNext/>
              <w:spacing w:before="120" w:after="120"/>
              <w:jc w:val="both"/>
              <w:rPr>
                <w:rFonts w:ascii="Arial" w:hAnsi="Arial" w:cs="Arial"/>
                <w:b/>
                <w:iCs/>
                <w:sz w:val="18"/>
              </w:rPr>
            </w:pPr>
            <w:r>
              <w:rPr>
                <w:rFonts w:ascii="Arial" w:hAnsi="Arial" w:cs="Arial"/>
                <w:b/>
                <w:iCs/>
                <w:sz w:val="18"/>
              </w:rPr>
              <w:t>Link bandwidth</w:t>
            </w:r>
          </w:p>
        </w:tc>
        <w:tc>
          <w:tcPr>
            <w:tcW w:w="1699" w:type="dxa"/>
          </w:tcPr>
          <w:p w14:paraId="1FAA975A" w14:textId="77777777" w:rsidR="00D43DC8" w:rsidRDefault="00D43DC8">
            <w:pPr>
              <w:keepNext/>
              <w:spacing w:before="120" w:after="120"/>
              <w:jc w:val="center"/>
              <w:rPr>
                <w:rFonts w:ascii="Arial" w:hAnsi="Arial" w:cs="Arial"/>
                <w:iCs/>
                <w:sz w:val="18"/>
              </w:rPr>
            </w:pPr>
            <w:r>
              <w:rPr>
                <w:rFonts w:ascii="Arial" w:hAnsi="Arial" w:cs="Arial"/>
                <w:b/>
                <w:iCs/>
                <w:snapToGrid w:val="0"/>
                <w:sz w:val="18"/>
              </w:rPr>
              <w:t>Central business district zone to central business district zone</w:t>
            </w:r>
          </w:p>
        </w:tc>
        <w:tc>
          <w:tcPr>
            <w:tcW w:w="1700" w:type="dxa"/>
          </w:tcPr>
          <w:p w14:paraId="6E7D143C" w14:textId="77777777" w:rsidR="00D43DC8" w:rsidRDefault="00D43DC8">
            <w:pPr>
              <w:keepNext/>
              <w:spacing w:before="120" w:after="120"/>
              <w:jc w:val="center"/>
              <w:rPr>
                <w:rFonts w:ascii="Arial" w:hAnsi="Arial" w:cs="Arial"/>
                <w:iCs/>
                <w:sz w:val="18"/>
              </w:rPr>
            </w:pPr>
            <w:r>
              <w:rPr>
                <w:rFonts w:ascii="Arial" w:hAnsi="Arial" w:cs="Arial"/>
                <w:b/>
                <w:iCs/>
                <w:snapToGrid w:val="0"/>
                <w:sz w:val="18"/>
              </w:rPr>
              <w:t>Central business district zone to business zone</w:t>
            </w:r>
          </w:p>
        </w:tc>
        <w:tc>
          <w:tcPr>
            <w:tcW w:w="1700" w:type="dxa"/>
          </w:tcPr>
          <w:p w14:paraId="4F7E3902" w14:textId="77777777" w:rsidR="00D43DC8" w:rsidRDefault="00D43DC8">
            <w:pPr>
              <w:keepNext/>
              <w:spacing w:before="120" w:after="120"/>
              <w:jc w:val="center"/>
              <w:rPr>
                <w:rFonts w:ascii="Arial" w:hAnsi="Arial" w:cs="Arial"/>
                <w:iCs/>
                <w:sz w:val="18"/>
              </w:rPr>
            </w:pPr>
            <w:r>
              <w:rPr>
                <w:rFonts w:ascii="Arial" w:hAnsi="Arial" w:cs="Arial"/>
                <w:b/>
                <w:iCs/>
                <w:snapToGrid w:val="0"/>
                <w:sz w:val="18"/>
              </w:rPr>
              <w:t>Business zone to business zone</w:t>
            </w:r>
          </w:p>
        </w:tc>
      </w:tr>
      <w:tr w:rsidR="00D43DC8" w14:paraId="6573AAB1" w14:textId="77777777">
        <w:tblPrEx>
          <w:tblCellMar>
            <w:top w:w="0" w:type="dxa"/>
            <w:bottom w:w="0" w:type="dxa"/>
          </w:tblCellMar>
        </w:tblPrEx>
        <w:trPr>
          <w:trHeight w:val="540"/>
          <w:tblHeader/>
        </w:trPr>
        <w:tc>
          <w:tcPr>
            <w:tcW w:w="1699" w:type="dxa"/>
            <w:tcBorders>
              <w:top w:val="nil"/>
            </w:tcBorders>
          </w:tcPr>
          <w:p w14:paraId="03B19BDE" w14:textId="77777777" w:rsidR="00D43DC8" w:rsidRDefault="00D43DC8">
            <w:pPr>
              <w:keepNext/>
              <w:spacing w:before="120" w:after="120"/>
              <w:jc w:val="center"/>
              <w:rPr>
                <w:rFonts w:ascii="Arial" w:hAnsi="Arial" w:cs="Arial"/>
                <w:sz w:val="18"/>
              </w:rPr>
            </w:pPr>
          </w:p>
        </w:tc>
        <w:tc>
          <w:tcPr>
            <w:tcW w:w="1699" w:type="dxa"/>
          </w:tcPr>
          <w:p w14:paraId="4FB55728" w14:textId="77777777" w:rsidR="00D43DC8" w:rsidRPr="00D34C76" w:rsidRDefault="00D43DC8">
            <w:pPr>
              <w:keepNext/>
              <w:spacing w:before="120" w:after="120"/>
              <w:jc w:val="center"/>
              <w:rPr>
                <w:rFonts w:ascii="Arial" w:hAnsi="Arial" w:cs="Arial"/>
                <w:bCs/>
                <w:sz w:val="18"/>
              </w:rPr>
            </w:pPr>
            <w:r w:rsidRPr="00D34C76">
              <w:rPr>
                <w:rFonts w:ascii="Arial" w:hAnsi="Arial" w:cs="Arial"/>
                <w:bCs/>
                <w:snapToGrid w:val="0"/>
                <w:sz w:val="18"/>
              </w:rPr>
              <w:t>(GST excl.)</w:t>
            </w:r>
          </w:p>
        </w:tc>
        <w:tc>
          <w:tcPr>
            <w:tcW w:w="1700" w:type="dxa"/>
          </w:tcPr>
          <w:p w14:paraId="7ADD8C9E" w14:textId="77777777" w:rsidR="00D43DC8" w:rsidRPr="00D34C76" w:rsidRDefault="00D43DC8">
            <w:pPr>
              <w:keepNext/>
              <w:spacing w:before="120" w:after="120"/>
              <w:jc w:val="center"/>
              <w:rPr>
                <w:rFonts w:ascii="Arial" w:hAnsi="Arial" w:cs="Arial"/>
                <w:bCs/>
                <w:sz w:val="18"/>
              </w:rPr>
            </w:pPr>
            <w:r w:rsidRPr="00D34C76">
              <w:rPr>
                <w:rFonts w:ascii="Arial" w:hAnsi="Arial" w:cs="Arial"/>
                <w:bCs/>
                <w:snapToGrid w:val="0"/>
                <w:sz w:val="18"/>
              </w:rPr>
              <w:t>(GST excl.)</w:t>
            </w:r>
          </w:p>
        </w:tc>
        <w:tc>
          <w:tcPr>
            <w:tcW w:w="1706" w:type="dxa"/>
            <w:gridSpan w:val="2"/>
          </w:tcPr>
          <w:p w14:paraId="2068899A" w14:textId="77777777" w:rsidR="00D43DC8" w:rsidRPr="00D34C76" w:rsidRDefault="00D43DC8">
            <w:pPr>
              <w:keepNext/>
              <w:spacing w:before="120" w:after="120"/>
              <w:jc w:val="center"/>
              <w:rPr>
                <w:rFonts w:ascii="Arial" w:hAnsi="Arial" w:cs="Arial"/>
                <w:bCs/>
                <w:sz w:val="18"/>
              </w:rPr>
            </w:pPr>
            <w:r w:rsidRPr="00D34C76">
              <w:rPr>
                <w:rFonts w:ascii="Arial" w:hAnsi="Arial" w:cs="Arial"/>
                <w:bCs/>
                <w:snapToGrid w:val="0"/>
                <w:sz w:val="18"/>
              </w:rPr>
              <w:t>(GST excl.)</w:t>
            </w:r>
          </w:p>
        </w:tc>
      </w:tr>
      <w:tr w:rsidR="00D43DC8" w14:paraId="433DDB3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699" w:type="dxa"/>
            <w:vAlign w:val="center"/>
          </w:tcPr>
          <w:p w14:paraId="216828A9" w14:textId="77777777" w:rsidR="00D43DC8" w:rsidRDefault="00D43DC8">
            <w:pPr>
              <w:spacing w:before="120" w:after="120"/>
              <w:jc w:val="center"/>
              <w:rPr>
                <w:rFonts w:ascii="Arial" w:hAnsi="Arial" w:cs="Arial"/>
                <w:sz w:val="18"/>
              </w:rPr>
            </w:pPr>
            <w:r>
              <w:rPr>
                <w:rFonts w:ascii="Arial" w:hAnsi="Arial" w:cs="Arial"/>
                <w:snapToGrid w:val="0"/>
                <w:color w:val="000000"/>
                <w:sz w:val="18"/>
              </w:rPr>
              <w:t xml:space="preserve">2 </w:t>
            </w:r>
            <w:r>
              <w:rPr>
                <w:rFonts w:ascii="Arial" w:hAnsi="Arial" w:cs="Arial"/>
                <w:sz w:val="18"/>
              </w:rPr>
              <w:t>Mbit/s</w:t>
            </w:r>
          </w:p>
        </w:tc>
        <w:tc>
          <w:tcPr>
            <w:tcW w:w="1699" w:type="dxa"/>
            <w:vAlign w:val="center"/>
          </w:tcPr>
          <w:p w14:paraId="33ECA580" w14:textId="77777777" w:rsidR="00D43DC8" w:rsidRDefault="00D43DC8">
            <w:pPr>
              <w:spacing w:before="120" w:after="120"/>
              <w:jc w:val="right"/>
              <w:rPr>
                <w:rFonts w:ascii="Arial" w:eastAsia="Arial Unicode MS" w:hAnsi="Arial" w:cs="Arial"/>
                <w:b/>
                <w:bCs/>
                <w:sz w:val="18"/>
                <w:szCs w:val="18"/>
              </w:rPr>
            </w:pPr>
            <w:r>
              <w:rPr>
                <w:rFonts w:ascii="Arial" w:hAnsi="Arial" w:cs="Arial"/>
                <w:b/>
                <w:bCs/>
                <w:sz w:val="18"/>
                <w:szCs w:val="18"/>
              </w:rPr>
              <w:t>$1,898.75</w:t>
            </w:r>
          </w:p>
        </w:tc>
        <w:tc>
          <w:tcPr>
            <w:tcW w:w="1700" w:type="dxa"/>
            <w:vAlign w:val="center"/>
          </w:tcPr>
          <w:p w14:paraId="1895EBA1" w14:textId="77777777" w:rsidR="00D43DC8" w:rsidRDefault="00D43DC8">
            <w:pPr>
              <w:spacing w:before="120" w:after="120"/>
              <w:jc w:val="right"/>
              <w:rPr>
                <w:rFonts w:ascii="Arial" w:eastAsia="Arial Unicode MS" w:hAnsi="Arial" w:cs="Arial"/>
                <w:b/>
                <w:bCs/>
                <w:sz w:val="18"/>
                <w:szCs w:val="18"/>
              </w:rPr>
            </w:pPr>
            <w:r>
              <w:rPr>
                <w:rFonts w:ascii="Arial" w:hAnsi="Arial" w:cs="Arial"/>
                <w:b/>
                <w:bCs/>
                <w:sz w:val="18"/>
                <w:szCs w:val="18"/>
              </w:rPr>
              <w:t>$2,190.75</w:t>
            </w:r>
          </w:p>
        </w:tc>
        <w:tc>
          <w:tcPr>
            <w:tcW w:w="1706" w:type="dxa"/>
            <w:gridSpan w:val="2"/>
            <w:vAlign w:val="center"/>
          </w:tcPr>
          <w:p w14:paraId="4A7D47F2" w14:textId="77777777" w:rsidR="00D43DC8" w:rsidRDefault="00D43DC8">
            <w:pPr>
              <w:spacing w:before="120" w:after="120"/>
              <w:jc w:val="right"/>
              <w:rPr>
                <w:rFonts w:ascii="Arial" w:eastAsia="Arial Unicode MS" w:hAnsi="Arial" w:cs="Arial"/>
                <w:b/>
                <w:bCs/>
                <w:sz w:val="18"/>
                <w:szCs w:val="18"/>
              </w:rPr>
            </w:pPr>
            <w:r>
              <w:rPr>
                <w:rFonts w:ascii="Arial" w:hAnsi="Arial" w:cs="Arial"/>
                <w:b/>
                <w:bCs/>
                <w:sz w:val="18"/>
                <w:szCs w:val="18"/>
              </w:rPr>
              <w:t>$2,464.33</w:t>
            </w:r>
          </w:p>
        </w:tc>
      </w:tr>
      <w:tr w:rsidR="00D43DC8" w14:paraId="187ADD9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699" w:type="dxa"/>
            <w:vAlign w:val="center"/>
          </w:tcPr>
          <w:p w14:paraId="370EBD32" w14:textId="77777777" w:rsidR="00D43DC8" w:rsidRDefault="00D43DC8">
            <w:pPr>
              <w:spacing w:before="120" w:after="120"/>
              <w:jc w:val="center"/>
              <w:rPr>
                <w:rFonts w:ascii="Arial" w:hAnsi="Arial" w:cs="Arial"/>
                <w:snapToGrid w:val="0"/>
                <w:color w:val="000000"/>
                <w:sz w:val="18"/>
              </w:rPr>
            </w:pPr>
            <w:r>
              <w:rPr>
                <w:rFonts w:ascii="Arial" w:hAnsi="Arial" w:cs="Arial"/>
                <w:snapToGrid w:val="0"/>
                <w:color w:val="000000"/>
                <w:sz w:val="18"/>
              </w:rPr>
              <w:t xml:space="preserve">10 </w:t>
            </w:r>
            <w:r>
              <w:rPr>
                <w:rFonts w:ascii="Arial" w:hAnsi="Arial" w:cs="Arial"/>
                <w:sz w:val="18"/>
              </w:rPr>
              <w:t>Mbit/s</w:t>
            </w:r>
          </w:p>
        </w:tc>
        <w:tc>
          <w:tcPr>
            <w:tcW w:w="1699" w:type="dxa"/>
            <w:vAlign w:val="center"/>
          </w:tcPr>
          <w:p w14:paraId="4B7CEB33" w14:textId="77777777" w:rsidR="00D43DC8" w:rsidRDefault="00D43DC8">
            <w:pPr>
              <w:spacing w:before="120" w:after="120"/>
              <w:jc w:val="right"/>
              <w:rPr>
                <w:rFonts w:ascii="Arial" w:eastAsia="Arial Unicode MS" w:hAnsi="Arial" w:cs="Arial"/>
                <w:b/>
                <w:bCs/>
                <w:sz w:val="18"/>
                <w:szCs w:val="18"/>
              </w:rPr>
            </w:pPr>
            <w:r>
              <w:rPr>
                <w:rFonts w:ascii="Arial" w:hAnsi="Arial" w:cs="Arial"/>
                <w:b/>
                <w:bCs/>
                <w:sz w:val="18"/>
                <w:szCs w:val="18"/>
              </w:rPr>
              <w:t>$2,596.67</w:t>
            </w:r>
          </w:p>
        </w:tc>
        <w:tc>
          <w:tcPr>
            <w:tcW w:w="1700" w:type="dxa"/>
            <w:vAlign w:val="center"/>
          </w:tcPr>
          <w:p w14:paraId="1257DAAC" w14:textId="77777777" w:rsidR="00D43DC8" w:rsidRDefault="00D43DC8">
            <w:pPr>
              <w:spacing w:before="120" w:after="120"/>
              <w:jc w:val="right"/>
              <w:rPr>
                <w:rFonts w:ascii="Arial" w:eastAsia="Arial Unicode MS" w:hAnsi="Arial" w:cs="Arial"/>
                <w:b/>
                <w:bCs/>
                <w:sz w:val="18"/>
                <w:szCs w:val="18"/>
              </w:rPr>
            </w:pPr>
            <w:r>
              <w:rPr>
                <w:rFonts w:ascii="Arial" w:hAnsi="Arial" w:cs="Arial"/>
                <w:b/>
                <w:bCs/>
                <w:sz w:val="18"/>
                <w:szCs w:val="18"/>
              </w:rPr>
              <w:t>$2,991.50</w:t>
            </w:r>
          </w:p>
        </w:tc>
        <w:tc>
          <w:tcPr>
            <w:tcW w:w="1706" w:type="dxa"/>
            <w:gridSpan w:val="2"/>
            <w:vAlign w:val="center"/>
          </w:tcPr>
          <w:p w14:paraId="4F6CB57A" w14:textId="77777777" w:rsidR="00D43DC8" w:rsidRDefault="00D43DC8">
            <w:pPr>
              <w:spacing w:before="120" w:after="120"/>
              <w:jc w:val="right"/>
              <w:rPr>
                <w:rFonts w:ascii="Arial" w:eastAsia="Arial Unicode MS" w:hAnsi="Arial" w:cs="Arial"/>
                <w:b/>
                <w:bCs/>
                <w:sz w:val="18"/>
                <w:szCs w:val="18"/>
              </w:rPr>
            </w:pPr>
            <w:r>
              <w:rPr>
                <w:rFonts w:ascii="Arial" w:hAnsi="Arial" w:cs="Arial"/>
                <w:b/>
                <w:bCs/>
                <w:sz w:val="18"/>
                <w:szCs w:val="18"/>
              </w:rPr>
              <w:t>$3,361.50</w:t>
            </w:r>
          </w:p>
        </w:tc>
      </w:tr>
      <w:tr w:rsidR="00D43DC8" w14:paraId="274106E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699" w:type="dxa"/>
            <w:vAlign w:val="center"/>
          </w:tcPr>
          <w:p w14:paraId="3C94B723" w14:textId="77777777" w:rsidR="00D43DC8" w:rsidRDefault="00D43DC8">
            <w:pPr>
              <w:spacing w:before="120" w:after="120"/>
              <w:jc w:val="center"/>
              <w:rPr>
                <w:rFonts w:ascii="Arial" w:hAnsi="Arial" w:cs="Arial"/>
                <w:snapToGrid w:val="0"/>
                <w:color w:val="000000"/>
                <w:sz w:val="18"/>
              </w:rPr>
            </w:pPr>
            <w:r>
              <w:rPr>
                <w:rFonts w:ascii="Arial" w:hAnsi="Arial" w:cs="Arial"/>
                <w:snapToGrid w:val="0"/>
                <w:color w:val="000000"/>
                <w:sz w:val="18"/>
              </w:rPr>
              <w:t>20</w:t>
            </w:r>
            <w:r>
              <w:rPr>
                <w:rFonts w:ascii="Arial" w:hAnsi="Arial" w:cs="Arial"/>
                <w:sz w:val="18"/>
              </w:rPr>
              <w:t xml:space="preserve"> Mbit/s</w:t>
            </w:r>
          </w:p>
        </w:tc>
        <w:tc>
          <w:tcPr>
            <w:tcW w:w="1699" w:type="dxa"/>
            <w:vAlign w:val="center"/>
          </w:tcPr>
          <w:p w14:paraId="30429128" w14:textId="77777777" w:rsidR="00D43DC8" w:rsidRDefault="00D43DC8">
            <w:pPr>
              <w:spacing w:before="120" w:after="120"/>
              <w:jc w:val="right"/>
              <w:rPr>
                <w:rFonts w:ascii="Arial" w:eastAsia="Arial Unicode MS" w:hAnsi="Arial" w:cs="Arial"/>
                <w:b/>
                <w:bCs/>
                <w:sz w:val="18"/>
                <w:szCs w:val="18"/>
              </w:rPr>
            </w:pPr>
            <w:r>
              <w:rPr>
                <w:rFonts w:ascii="Arial" w:hAnsi="Arial" w:cs="Arial"/>
                <w:b/>
                <w:bCs/>
                <w:sz w:val="18"/>
                <w:szCs w:val="18"/>
              </w:rPr>
              <w:t>$4,474.50</w:t>
            </w:r>
          </w:p>
        </w:tc>
        <w:tc>
          <w:tcPr>
            <w:tcW w:w="1700" w:type="dxa"/>
            <w:vAlign w:val="center"/>
          </w:tcPr>
          <w:p w14:paraId="04C78466" w14:textId="77777777" w:rsidR="00D43DC8" w:rsidRDefault="00D43DC8">
            <w:pPr>
              <w:spacing w:before="120" w:after="120"/>
              <w:jc w:val="right"/>
              <w:rPr>
                <w:rFonts w:ascii="Arial" w:eastAsia="Arial Unicode MS" w:hAnsi="Arial" w:cs="Arial"/>
                <w:b/>
                <w:bCs/>
                <w:sz w:val="18"/>
                <w:szCs w:val="18"/>
              </w:rPr>
            </w:pPr>
            <w:r>
              <w:rPr>
                <w:rFonts w:ascii="Arial" w:hAnsi="Arial" w:cs="Arial"/>
                <w:b/>
                <w:bCs/>
                <w:sz w:val="18"/>
                <w:szCs w:val="18"/>
              </w:rPr>
              <w:t>$5,203.17</w:t>
            </w:r>
          </w:p>
        </w:tc>
        <w:tc>
          <w:tcPr>
            <w:tcW w:w="1706" w:type="dxa"/>
            <w:gridSpan w:val="2"/>
            <w:vAlign w:val="center"/>
          </w:tcPr>
          <w:p w14:paraId="752F00DD" w14:textId="77777777" w:rsidR="00D43DC8" w:rsidRDefault="00D43DC8">
            <w:pPr>
              <w:spacing w:before="120" w:after="120"/>
              <w:jc w:val="right"/>
              <w:rPr>
                <w:rFonts w:ascii="Arial" w:eastAsia="Arial Unicode MS" w:hAnsi="Arial" w:cs="Arial"/>
                <w:b/>
                <w:bCs/>
                <w:sz w:val="18"/>
                <w:szCs w:val="18"/>
              </w:rPr>
            </w:pPr>
            <w:r>
              <w:rPr>
                <w:rFonts w:ascii="Arial" w:hAnsi="Arial" w:cs="Arial"/>
                <w:b/>
                <w:bCs/>
                <w:sz w:val="18"/>
                <w:szCs w:val="18"/>
              </w:rPr>
              <w:t>$5,886.00</w:t>
            </w:r>
          </w:p>
        </w:tc>
      </w:tr>
      <w:tr w:rsidR="00D43DC8" w14:paraId="672AA73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699" w:type="dxa"/>
            <w:vAlign w:val="center"/>
          </w:tcPr>
          <w:p w14:paraId="04B1FBD3" w14:textId="77777777" w:rsidR="00D43DC8" w:rsidRDefault="00D43DC8">
            <w:pPr>
              <w:spacing w:before="120" w:after="120"/>
              <w:jc w:val="center"/>
              <w:rPr>
                <w:rFonts w:ascii="Arial" w:hAnsi="Arial" w:cs="Arial"/>
                <w:snapToGrid w:val="0"/>
                <w:color w:val="000000"/>
                <w:sz w:val="18"/>
              </w:rPr>
            </w:pPr>
            <w:r>
              <w:rPr>
                <w:rFonts w:ascii="Arial" w:hAnsi="Arial" w:cs="Arial"/>
                <w:snapToGrid w:val="0"/>
                <w:color w:val="000000"/>
                <w:sz w:val="18"/>
              </w:rPr>
              <w:t>50</w:t>
            </w:r>
            <w:r>
              <w:rPr>
                <w:rFonts w:ascii="Arial" w:hAnsi="Arial" w:cs="Arial"/>
                <w:sz w:val="18"/>
              </w:rPr>
              <w:t xml:space="preserve"> Mbit/s</w:t>
            </w:r>
          </w:p>
        </w:tc>
        <w:tc>
          <w:tcPr>
            <w:tcW w:w="1699" w:type="dxa"/>
            <w:vAlign w:val="center"/>
          </w:tcPr>
          <w:p w14:paraId="3B167A76" w14:textId="77777777" w:rsidR="00D43DC8" w:rsidRDefault="00D43DC8">
            <w:pPr>
              <w:spacing w:before="120" w:after="120"/>
              <w:jc w:val="right"/>
              <w:rPr>
                <w:rFonts w:ascii="Arial" w:eastAsia="Arial Unicode MS" w:hAnsi="Arial" w:cs="Arial"/>
                <w:b/>
                <w:bCs/>
                <w:sz w:val="18"/>
                <w:szCs w:val="18"/>
              </w:rPr>
            </w:pPr>
            <w:r>
              <w:rPr>
                <w:rFonts w:ascii="Arial" w:hAnsi="Arial" w:cs="Arial"/>
                <w:b/>
                <w:bCs/>
                <w:sz w:val="18"/>
                <w:szCs w:val="18"/>
              </w:rPr>
              <w:t>$6,080.00</w:t>
            </w:r>
          </w:p>
        </w:tc>
        <w:tc>
          <w:tcPr>
            <w:tcW w:w="1700" w:type="dxa"/>
            <w:vAlign w:val="center"/>
          </w:tcPr>
          <w:p w14:paraId="6864CC2B" w14:textId="77777777" w:rsidR="00D43DC8" w:rsidRDefault="00D43DC8">
            <w:pPr>
              <w:spacing w:before="120" w:after="120"/>
              <w:jc w:val="right"/>
              <w:rPr>
                <w:rFonts w:ascii="Arial" w:eastAsia="Arial Unicode MS" w:hAnsi="Arial" w:cs="Arial"/>
                <w:b/>
                <w:bCs/>
                <w:sz w:val="18"/>
                <w:szCs w:val="18"/>
              </w:rPr>
            </w:pPr>
            <w:r>
              <w:rPr>
                <w:rFonts w:ascii="Arial" w:hAnsi="Arial" w:cs="Arial"/>
                <w:b/>
                <w:bCs/>
                <w:sz w:val="18"/>
                <w:szCs w:val="18"/>
              </w:rPr>
              <w:t>$7,141.00</w:t>
            </w:r>
          </w:p>
        </w:tc>
        <w:tc>
          <w:tcPr>
            <w:tcW w:w="1706" w:type="dxa"/>
            <w:gridSpan w:val="2"/>
            <w:vAlign w:val="center"/>
          </w:tcPr>
          <w:p w14:paraId="7DF97C83" w14:textId="77777777" w:rsidR="00D43DC8" w:rsidRDefault="00D43DC8">
            <w:pPr>
              <w:spacing w:before="120" w:after="120"/>
              <w:jc w:val="right"/>
              <w:rPr>
                <w:rFonts w:ascii="Arial" w:eastAsia="Arial Unicode MS" w:hAnsi="Arial" w:cs="Arial"/>
                <w:b/>
                <w:bCs/>
                <w:sz w:val="18"/>
                <w:szCs w:val="18"/>
              </w:rPr>
            </w:pPr>
            <w:r>
              <w:rPr>
                <w:rFonts w:ascii="Arial" w:hAnsi="Arial" w:cs="Arial"/>
                <w:b/>
                <w:bCs/>
                <w:sz w:val="18"/>
                <w:szCs w:val="18"/>
              </w:rPr>
              <w:t>$8,136.00</w:t>
            </w:r>
          </w:p>
        </w:tc>
      </w:tr>
      <w:tr w:rsidR="00D43DC8" w14:paraId="05F3C58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699" w:type="dxa"/>
            <w:vAlign w:val="center"/>
          </w:tcPr>
          <w:p w14:paraId="6A5D21DF" w14:textId="77777777" w:rsidR="00D43DC8" w:rsidRDefault="00D43DC8">
            <w:pPr>
              <w:spacing w:before="120" w:after="120"/>
              <w:jc w:val="center"/>
              <w:rPr>
                <w:rFonts w:ascii="Arial" w:hAnsi="Arial" w:cs="Arial"/>
                <w:snapToGrid w:val="0"/>
                <w:color w:val="000000"/>
                <w:sz w:val="18"/>
              </w:rPr>
            </w:pPr>
            <w:r>
              <w:rPr>
                <w:rFonts w:ascii="Arial" w:hAnsi="Arial" w:cs="Arial"/>
                <w:snapToGrid w:val="0"/>
                <w:color w:val="000000"/>
                <w:sz w:val="18"/>
              </w:rPr>
              <w:t>100</w:t>
            </w:r>
            <w:r>
              <w:rPr>
                <w:rFonts w:ascii="Arial" w:hAnsi="Arial" w:cs="Arial"/>
                <w:sz w:val="18"/>
              </w:rPr>
              <w:t xml:space="preserve"> Mbit/s</w:t>
            </w:r>
          </w:p>
        </w:tc>
        <w:tc>
          <w:tcPr>
            <w:tcW w:w="1699" w:type="dxa"/>
            <w:vAlign w:val="center"/>
          </w:tcPr>
          <w:p w14:paraId="11E959C2" w14:textId="77777777" w:rsidR="00D43DC8" w:rsidRDefault="00D43DC8">
            <w:pPr>
              <w:spacing w:before="120" w:after="120"/>
              <w:jc w:val="right"/>
              <w:rPr>
                <w:rFonts w:ascii="Arial" w:eastAsia="Arial Unicode MS" w:hAnsi="Arial" w:cs="Arial"/>
                <w:b/>
                <w:bCs/>
                <w:sz w:val="18"/>
                <w:szCs w:val="18"/>
              </w:rPr>
            </w:pPr>
            <w:r>
              <w:rPr>
                <w:rFonts w:ascii="Arial" w:hAnsi="Arial" w:cs="Arial"/>
                <w:b/>
                <w:bCs/>
                <w:sz w:val="18"/>
                <w:szCs w:val="18"/>
              </w:rPr>
              <w:t>$7,666.50</w:t>
            </w:r>
          </w:p>
        </w:tc>
        <w:tc>
          <w:tcPr>
            <w:tcW w:w="1700" w:type="dxa"/>
            <w:vAlign w:val="center"/>
          </w:tcPr>
          <w:p w14:paraId="4025109D" w14:textId="77777777" w:rsidR="00D43DC8" w:rsidRDefault="00D43DC8">
            <w:pPr>
              <w:spacing w:before="120" w:after="120"/>
              <w:jc w:val="right"/>
              <w:rPr>
                <w:rFonts w:ascii="Arial" w:eastAsia="Arial Unicode MS" w:hAnsi="Arial" w:cs="Arial"/>
                <w:b/>
                <w:bCs/>
                <w:sz w:val="18"/>
                <w:szCs w:val="18"/>
              </w:rPr>
            </w:pPr>
            <w:r>
              <w:rPr>
                <w:rFonts w:ascii="Arial" w:hAnsi="Arial" w:cs="Arial"/>
                <w:b/>
                <w:bCs/>
                <w:sz w:val="18"/>
                <w:szCs w:val="18"/>
              </w:rPr>
              <w:t>$9,074.25</w:t>
            </w:r>
          </w:p>
        </w:tc>
        <w:tc>
          <w:tcPr>
            <w:tcW w:w="1706" w:type="dxa"/>
            <w:gridSpan w:val="2"/>
            <w:vAlign w:val="center"/>
          </w:tcPr>
          <w:p w14:paraId="68FB2628" w14:textId="77777777" w:rsidR="00D43DC8" w:rsidRDefault="00D43DC8">
            <w:pPr>
              <w:spacing w:before="120" w:after="120"/>
              <w:jc w:val="right"/>
              <w:rPr>
                <w:rFonts w:ascii="Arial" w:eastAsia="Arial Unicode MS" w:hAnsi="Arial" w:cs="Arial"/>
                <w:b/>
                <w:bCs/>
                <w:sz w:val="18"/>
                <w:szCs w:val="18"/>
              </w:rPr>
            </w:pPr>
            <w:r>
              <w:rPr>
                <w:rFonts w:ascii="Arial" w:hAnsi="Arial" w:cs="Arial"/>
                <w:b/>
                <w:bCs/>
                <w:sz w:val="18"/>
                <w:szCs w:val="18"/>
              </w:rPr>
              <w:t>$10,395.00</w:t>
            </w:r>
          </w:p>
        </w:tc>
      </w:tr>
      <w:tr w:rsidR="00D43DC8" w14:paraId="161FE1E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699" w:type="dxa"/>
            <w:vAlign w:val="center"/>
          </w:tcPr>
          <w:p w14:paraId="73EE2662" w14:textId="77777777" w:rsidR="00D43DC8" w:rsidRDefault="00D43DC8">
            <w:pPr>
              <w:spacing w:before="120" w:after="120"/>
              <w:jc w:val="center"/>
              <w:rPr>
                <w:rFonts w:ascii="Arial" w:hAnsi="Arial" w:cs="Arial"/>
                <w:snapToGrid w:val="0"/>
                <w:color w:val="000000"/>
                <w:sz w:val="18"/>
              </w:rPr>
            </w:pPr>
            <w:r>
              <w:rPr>
                <w:rFonts w:ascii="Arial" w:hAnsi="Arial" w:cs="Arial"/>
                <w:snapToGrid w:val="0"/>
                <w:color w:val="000000"/>
                <w:sz w:val="18"/>
              </w:rPr>
              <w:t>500</w:t>
            </w:r>
            <w:r>
              <w:rPr>
                <w:rFonts w:ascii="Arial" w:hAnsi="Arial" w:cs="Arial"/>
                <w:sz w:val="18"/>
              </w:rPr>
              <w:t xml:space="preserve"> Mbit/s</w:t>
            </w:r>
          </w:p>
        </w:tc>
        <w:tc>
          <w:tcPr>
            <w:tcW w:w="1699" w:type="dxa"/>
            <w:vAlign w:val="center"/>
          </w:tcPr>
          <w:p w14:paraId="124362FC" w14:textId="77777777" w:rsidR="00D43DC8" w:rsidRDefault="00D43DC8">
            <w:pPr>
              <w:spacing w:before="120" w:after="120"/>
              <w:jc w:val="right"/>
              <w:rPr>
                <w:rFonts w:ascii="Arial" w:eastAsia="Arial Unicode MS" w:hAnsi="Arial" w:cs="Arial"/>
                <w:b/>
                <w:bCs/>
                <w:sz w:val="18"/>
                <w:szCs w:val="18"/>
              </w:rPr>
            </w:pPr>
            <w:r>
              <w:rPr>
                <w:rFonts w:ascii="Arial" w:hAnsi="Arial" w:cs="Arial"/>
                <w:b/>
                <w:bCs/>
                <w:sz w:val="18"/>
                <w:szCs w:val="18"/>
              </w:rPr>
              <w:t>$13,129.00</w:t>
            </w:r>
          </w:p>
        </w:tc>
        <w:tc>
          <w:tcPr>
            <w:tcW w:w="1700" w:type="dxa"/>
            <w:vAlign w:val="center"/>
          </w:tcPr>
          <w:p w14:paraId="3E3907E2" w14:textId="77777777" w:rsidR="00D43DC8" w:rsidRDefault="00D43DC8">
            <w:pPr>
              <w:spacing w:before="120" w:after="120"/>
              <w:jc w:val="right"/>
              <w:rPr>
                <w:rFonts w:ascii="Arial" w:eastAsia="Arial Unicode MS" w:hAnsi="Arial" w:cs="Arial"/>
                <w:b/>
                <w:bCs/>
                <w:sz w:val="18"/>
                <w:szCs w:val="18"/>
              </w:rPr>
            </w:pPr>
            <w:r>
              <w:rPr>
                <w:rFonts w:ascii="Arial" w:hAnsi="Arial" w:cs="Arial"/>
                <w:b/>
                <w:bCs/>
                <w:sz w:val="18"/>
                <w:szCs w:val="18"/>
              </w:rPr>
              <w:t>$15,831.42</w:t>
            </w:r>
          </w:p>
        </w:tc>
        <w:tc>
          <w:tcPr>
            <w:tcW w:w="1706" w:type="dxa"/>
            <w:gridSpan w:val="2"/>
            <w:vAlign w:val="center"/>
          </w:tcPr>
          <w:p w14:paraId="2CF034A1" w14:textId="77777777" w:rsidR="00D43DC8" w:rsidRDefault="00D43DC8">
            <w:pPr>
              <w:spacing w:before="120" w:after="120"/>
              <w:jc w:val="right"/>
              <w:rPr>
                <w:rFonts w:ascii="Arial" w:eastAsia="Arial Unicode MS" w:hAnsi="Arial" w:cs="Arial"/>
                <w:b/>
                <w:bCs/>
                <w:sz w:val="18"/>
                <w:szCs w:val="18"/>
              </w:rPr>
            </w:pPr>
            <w:r>
              <w:rPr>
                <w:rFonts w:ascii="Arial" w:hAnsi="Arial" w:cs="Arial"/>
                <w:b/>
                <w:bCs/>
                <w:sz w:val="18"/>
                <w:szCs w:val="18"/>
              </w:rPr>
              <w:t>$18,369.00</w:t>
            </w:r>
          </w:p>
        </w:tc>
      </w:tr>
      <w:tr w:rsidR="00D43DC8" w14:paraId="4467045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699" w:type="dxa"/>
            <w:vAlign w:val="center"/>
          </w:tcPr>
          <w:p w14:paraId="602B07FA" w14:textId="77777777" w:rsidR="00D43DC8" w:rsidRDefault="00D43DC8">
            <w:pPr>
              <w:spacing w:before="120" w:after="120"/>
              <w:jc w:val="center"/>
              <w:rPr>
                <w:rFonts w:ascii="Arial" w:hAnsi="Arial" w:cs="Arial"/>
                <w:snapToGrid w:val="0"/>
                <w:color w:val="000000"/>
                <w:sz w:val="18"/>
              </w:rPr>
            </w:pPr>
            <w:r>
              <w:rPr>
                <w:rFonts w:ascii="Arial" w:hAnsi="Arial" w:cs="Arial"/>
                <w:snapToGrid w:val="0"/>
                <w:color w:val="000000"/>
                <w:sz w:val="18"/>
              </w:rPr>
              <w:t>1000</w:t>
            </w:r>
            <w:r>
              <w:rPr>
                <w:rFonts w:ascii="Arial" w:hAnsi="Arial" w:cs="Arial"/>
                <w:sz w:val="18"/>
              </w:rPr>
              <w:t xml:space="preserve"> Mbit/s</w:t>
            </w:r>
          </w:p>
        </w:tc>
        <w:tc>
          <w:tcPr>
            <w:tcW w:w="1699" w:type="dxa"/>
            <w:vAlign w:val="center"/>
          </w:tcPr>
          <w:p w14:paraId="6DDDFB94" w14:textId="77777777" w:rsidR="00D43DC8" w:rsidRDefault="00D43DC8">
            <w:pPr>
              <w:spacing w:before="120" w:after="120"/>
              <w:jc w:val="right"/>
              <w:rPr>
                <w:rFonts w:ascii="Arial" w:eastAsia="Arial Unicode MS" w:hAnsi="Arial" w:cs="Arial"/>
                <w:b/>
                <w:bCs/>
                <w:sz w:val="18"/>
                <w:szCs w:val="18"/>
              </w:rPr>
            </w:pPr>
            <w:r>
              <w:rPr>
                <w:rFonts w:ascii="Arial" w:hAnsi="Arial" w:cs="Arial"/>
                <w:b/>
                <w:bCs/>
                <w:sz w:val="18"/>
                <w:szCs w:val="18"/>
              </w:rPr>
              <w:t>$16,549.00</w:t>
            </w:r>
          </w:p>
        </w:tc>
        <w:tc>
          <w:tcPr>
            <w:tcW w:w="1700" w:type="dxa"/>
            <w:vAlign w:val="center"/>
          </w:tcPr>
          <w:p w14:paraId="78093CF8" w14:textId="77777777" w:rsidR="00D43DC8" w:rsidRDefault="00D43DC8">
            <w:pPr>
              <w:spacing w:before="120" w:after="120"/>
              <w:jc w:val="right"/>
              <w:rPr>
                <w:rFonts w:ascii="Arial" w:eastAsia="Arial Unicode MS" w:hAnsi="Arial" w:cs="Arial"/>
                <w:b/>
                <w:bCs/>
                <w:sz w:val="18"/>
                <w:szCs w:val="18"/>
              </w:rPr>
            </w:pPr>
            <w:r>
              <w:rPr>
                <w:rFonts w:ascii="Arial" w:hAnsi="Arial" w:cs="Arial"/>
                <w:b/>
                <w:bCs/>
                <w:sz w:val="18"/>
                <w:szCs w:val="18"/>
              </w:rPr>
              <w:t>$20,118.75</w:t>
            </w:r>
          </w:p>
        </w:tc>
        <w:tc>
          <w:tcPr>
            <w:tcW w:w="1706" w:type="dxa"/>
            <w:gridSpan w:val="2"/>
            <w:vAlign w:val="center"/>
          </w:tcPr>
          <w:p w14:paraId="1574FEFE" w14:textId="77777777" w:rsidR="00D43DC8" w:rsidRDefault="00D43DC8">
            <w:pPr>
              <w:spacing w:before="120" w:after="120"/>
              <w:jc w:val="right"/>
              <w:rPr>
                <w:rFonts w:ascii="Arial" w:eastAsia="Arial Unicode MS" w:hAnsi="Arial" w:cs="Arial"/>
                <w:b/>
                <w:bCs/>
                <w:sz w:val="18"/>
                <w:szCs w:val="18"/>
              </w:rPr>
            </w:pPr>
            <w:r>
              <w:rPr>
                <w:rFonts w:ascii="Arial" w:hAnsi="Arial" w:cs="Arial"/>
                <w:b/>
                <w:bCs/>
                <w:sz w:val="18"/>
                <w:szCs w:val="18"/>
              </w:rPr>
              <w:t>$23,472.00</w:t>
            </w:r>
          </w:p>
        </w:tc>
      </w:tr>
    </w:tbl>
    <w:p w14:paraId="3F1EE5BC" w14:textId="77777777" w:rsidR="00D43DC8" w:rsidRDefault="00D43DC8">
      <w:pPr>
        <w:pStyle w:val="TableData"/>
      </w:pPr>
    </w:p>
    <w:p w14:paraId="1F602C80" w14:textId="77777777" w:rsidR="00D43DC8" w:rsidRDefault="00D43DC8">
      <w:pPr>
        <w:pStyle w:val="Indent1"/>
      </w:pPr>
      <w:bookmarkStart w:id="54" w:name="_Toc477170891"/>
      <w:r>
        <w:t>Monthly link bandwidth charges – to metropolitan zones</w:t>
      </w:r>
      <w:bookmarkEnd w:id="54"/>
    </w:p>
    <w:p w14:paraId="4797DDC0" w14:textId="77777777" w:rsidR="00D43DC8" w:rsidRDefault="00D43DC8">
      <w:pPr>
        <w:pStyle w:val="Heading2"/>
      </w:pPr>
      <w:r>
        <w:t>We charge you the following monthly charge for using a link to a Metropolitan zone for Ethernet MAN single uplink:</w:t>
      </w:r>
    </w:p>
    <w:tbl>
      <w:tblPr>
        <w:tblW w:w="6804"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1699"/>
        <w:gridCol w:w="1700"/>
        <w:gridCol w:w="1700"/>
        <w:gridCol w:w="6"/>
      </w:tblGrid>
      <w:tr w:rsidR="00D43DC8" w14:paraId="5FA62A7D" w14:textId="77777777">
        <w:tblPrEx>
          <w:tblCellMar>
            <w:top w:w="0" w:type="dxa"/>
            <w:bottom w:w="0" w:type="dxa"/>
          </w:tblCellMar>
        </w:tblPrEx>
        <w:trPr>
          <w:gridAfter w:val="1"/>
          <w:wAfter w:w="6" w:type="dxa"/>
          <w:trHeight w:val="486"/>
          <w:tblHeader/>
        </w:trPr>
        <w:tc>
          <w:tcPr>
            <w:tcW w:w="6798" w:type="dxa"/>
            <w:gridSpan w:val="4"/>
          </w:tcPr>
          <w:p w14:paraId="2822F1E2" w14:textId="77777777" w:rsidR="00D43DC8" w:rsidRDefault="00D43DC8">
            <w:pPr>
              <w:keepNext/>
              <w:spacing w:before="120" w:after="120"/>
              <w:rPr>
                <w:rFonts w:ascii="Arial" w:hAnsi="Arial" w:cs="Arial"/>
                <w:sz w:val="18"/>
              </w:rPr>
            </w:pPr>
            <w:r>
              <w:rPr>
                <w:rFonts w:ascii="Arial" w:hAnsi="Arial" w:cs="Arial"/>
                <w:b/>
                <w:sz w:val="18"/>
              </w:rPr>
              <w:t>Monthly link bandwidth charges – Ethernet MAN single uplink</w:t>
            </w:r>
          </w:p>
        </w:tc>
      </w:tr>
      <w:tr w:rsidR="00D43DC8" w:rsidRPr="00F92EB7" w14:paraId="3CB68225" w14:textId="77777777">
        <w:tblPrEx>
          <w:tblCellMar>
            <w:top w:w="0" w:type="dxa"/>
            <w:bottom w:w="0" w:type="dxa"/>
          </w:tblCellMar>
        </w:tblPrEx>
        <w:trPr>
          <w:gridAfter w:val="1"/>
          <w:wAfter w:w="6" w:type="dxa"/>
          <w:trHeight w:val="525"/>
          <w:tblHeader/>
        </w:trPr>
        <w:tc>
          <w:tcPr>
            <w:tcW w:w="1699" w:type="dxa"/>
            <w:tcBorders>
              <w:bottom w:val="nil"/>
            </w:tcBorders>
          </w:tcPr>
          <w:p w14:paraId="04B8F0E1" w14:textId="77777777" w:rsidR="00D43DC8" w:rsidRDefault="00D43DC8">
            <w:pPr>
              <w:keepNext/>
              <w:spacing w:before="120" w:after="120"/>
              <w:jc w:val="both"/>
              <w:rPr>
                <w:rFonts w:ascii="Arial" w:hAnsi="Arial" w:cs="Arial"/>
                <w:b/>
                <w:iCs/>
                <w:sz w:val="18"/>
              </w:rPr>
            </w:pPr>
            <w:r>
              <w:rPr>
                <w:rFonts w:ascii="Arial" w:hAnsi="Arial" w:cs="Arial"/>
                <w:b/>
                <w:iCs/>
                <w:sz w:val="18"/>
              </w:rPr>
              <w:t>Link Bandwidth</w:t>
            </w:r>
          </w:p>
        </w:tc>
        <w:tc>
          <w:tcPr>
            <w:tcW w:w="1699" w:type="dxa"/>
          </w:tcPr>
          <w:p w14:paraId="45FD97B1" w14:textId="77777777" w:rsidR="00D43DC8" w:rsidRDefault="00D43DC8">
            <w:pPr>
              <w:keepNext/>
              <w:spacing w:before="120" w:after="120"/>
              <w:jc w:val="center"/>
              <w:rPr>
                <w:rFonts w:ascii="Arial" w:hAnsi="Arial" w:cs="Arial"/>
                <w:iCs/>
                <w:sz w:val="18"/>
              </w:rPr>
            </w:pPr>
            <w:r>
              <w:rPr>
                <w:rFonts w:ascii="Arial" w:hAnsi="Arial" w:cs="Arial"/>
                <w:b/>
                <w:iCs/>
                <w:snapToGrid w:val="0"/>
                <w:sz w:val="18"/>
              </w:rPr>
              <w:t>Central business district zone to metro zone</w:t>
            </w:r>
          </w:p>
        </w:tc>
        <w:tc>
          <w:tcPr>
            <w:tcW w:w="1700" w:type="dxa"/>
          </w:tcPr>
          <w:p w14:paraId="2CB144BB" w14:textId="77777777" w:rsidR="00D43DC8" w:rsidRDefault="00D43DC8">
            <w:pPr>
              <w:keepNext/>
              <w:spacing w:before="120" w:after="120"/>
              <w:jc w:val="center"/>
              <w:rPr>
                <w:rFonts w:ascii="Arial" w:hAnsi="Arial" w:cs="Arial"/>
                <w:iCs/>
                <w:sz w:val="18"/>
              </w:rPr>
            </w:pPr>
            <w:r>
              <w:rPr>
                <w:rFonts w:ascii="Arial" w:hAnsi="Arial" w:cs="Arial"/>
                <w:b/>
                <w:iCs/>
                <w:snapToGrid w:val="0"/>
                <w:sz w:val="18"/>
              </w:rPr>
              <w:t>Business zone to metro zone</w:t>
            </w:r>
          </w:p>
        </w:tc>
        <w:tc>
          <w:tcPr>
            <w:tcW w:w="1700" w:type="dxa"/>
          </w:tcPr>
          <w:p w14:paraId="27A69533" w14:textId="77777777" w:rsidR="00D43DC8" w:rsidRPr="00F92EB7" w:rsidRDefault="00D43DC8">
            <w:pPr>
              <w:keepNext/>
              <w:spacing w:before="120" w:after="120"/>
              <w:jc w:val="center"/>
              <w:rPr>
                <w:rFonts w:ascii="Arial" w:hAnsi="Arial" w:cs="Arial"/>
                <w:iCs/>
                <w:sz w:val="18"/>
                <w:lang w:val="fr-FR"/>
              </w:rPr>
            </w:pPr>
            <w:r w:rsidRPr="00F92EB7">
              <w:rPr>
                <w:rFonts w:ascii="Arial" w:hAnsi="Arial" w:cs="Arial"/>
                <w:b/>
                <w:iCs/>
                <w:snapToGrid w:val="0"/>
                <w:sz w:val="18"/>
                <w:lang w:val="fr-FR"/>
              </w:rPr>
              <w:t>Metro zone to metro zone</w:t>
            </w:r>
          </w:p>
        </w:tc>
      </w:tr>
      <w:tr w:rsidR="00D43DC8" w14:paraId="13909998" w14:textId="77777777">
        <w:tblPrEx>
          <w:tblCellMar>
            <w:top w:w="0" w:type="dxa"/>
            <w:bottom w:w="0" w:type="dxa"/>
          </w:tblCellMar>
        </w:tblPrEx>
        <w:trPr>
          <w:trHeight w:val="540"/>
          <w:tblHeader/>
        </w:trPr>
        <w:tc>
          <w:tcPr>
            <w:tcW w:w="1699" w:type="dxa"/>
            <w:tcBorders>
              <w:top w:val="nil"/>
            </w:tcBorders>
          </w:tcPr>
          <w:p w14:paraId="40AB9D42" w14:textId="77777777" w:rsidR="00D43DC8" w:rsidRPr="00F92EB7" w:rsidRDefault="00D43DC8">
            <w:pPr>
              <w:keepNext/>
              <w:spacing w:before="120" w:after="120"/>
              <w:jc w:val="center"/>
              <w:rPr>
                <w:rFonts w:ascii="Arial" w:hAnsi="Arial" w:cs="Arial"/>
                <w:bCs/>
                <w:sz w:val="18"/>
                <w:lang w:val="fr-FR"/>
              </w:rPr>
            </w:pPr>
          </w:p>
        </w:tc>
        <w:tc>
          <w:tcPr>
            <w:tcW w:w="1699" w:type="dxa"/>
          </w:tcPr>
          <w:p w14:paraId="12BCC253" w14:textId="77777777" w:rsidR="00D43DC8" w:rsidRPr="00D34C76" w:rsidRDefault="00D43DC8">
            <w:pPr>
              <w:keepNext/>
              <w:spacing w:before="120" w:after="120"/>
              <w:jc w:val="center"/>
              <w:rPr>
                <w:rFonts w:ascii="Arial" w:hAnsi="Arial" w:cs="Arial"/>
                <w:bCs/>
                <w:sz w:val="18"/>
              </w:rPr>
            </w:pPr>
            <w:r w:rsidRPr="00D34C76">
              <w:rPr>
                <w:rFonts w:ascii="Arial" w:hAnsi="Arial" w:cs="Arial"/>
                <w:bCs/>
                <w:snapToGrid w:val="0"/>
                <w:sz w:val="18"/>
              </w:rPr>
              <w:t>(GST excl.)</w:t>
            </w:r>
          </w:p>
        </w:tc>
        <w:tc>
          <w:tcPr>
            <w:tcW w:w="1700" w:type="dxa"/>
          </w:tcPr>
          <w:p w14:paraId="6E77995B" w14:textId="77777777" w:rsidR="00D43DC8" w:rsidRPr="00D34C76" w:rsidRDefault="00D43DC8">
            <w:pPr>
              <w:keepNext/>
              <w:spacing w:before="120" w:after="120"/>
              <w:jc w:val="center"/>
              <w:rPr>
                <w:rFonts w:ascii="Arial" w:hAnsi="Arial" w:cs="Arial"/>
                <w:bCs/>
                <w:sz w:val="18"/>
              </w:rPr>
            </w:pPr>
            <w:r w:rsidRPr="00D34C76">
              <w:rPr>
                <w:rFonts w:ascii="Arial" w:hAnsi="Arial" w:cs="Arial"/>
                <w:bCs/>
                <w:snapToGrid w:val="0"/>
                <w:sz w:val="18"/>
              </w:rPr>
              <w:t>(GST excl.)</w:t>
            </w:r>
          </w:p>
        </w:tc>
        <w:tc>
          <w:tcPr>
            <w:tcW w:w="1706" w:type="dxa"/>
            <w:gridSpan w:val="2"/>
          </w:tcPr>
          <w:p w14:paraId="7D432287" w14:textId="77777777" w:rsidR="00D43DC8" w:rsidRPr="00D34C76" w:rsidRDefault="00D43DC8">
            <w:pPr>
              <w:keepNext/>
              <w:spacing w:before="120" w:after="120"/>
              <w:jc w:val="center"/>
              <w:rPr>
                <w:rFonts w:ascii="Arial" w:hAnsi="Arial" w:cs="Arial"/>
                <w:bCs/>
                <w:sz w:val="18"/>
              </w:rPr>
            </w:pPr>
            <w:r w:rsidRPr="00D34C76">
              <w:rPr>
                <w:rFonts w:ascii="Arial" w:hAnsi="Arial" w:cs="Arial"/>
                <w:bCs/>
                <w:snapToGrid w:val="0"/>
                <w:sz w:val="18"/>
              </w:rPr>
              <w:t>(GST excl.)</w:t>
            </w:r>
          </w:p>
        </w:tc>
      </w:tr>
      <w:tr w:rsidR="00D43DC8" w14:paraId="056E6FB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699" w:type="dxa"/>
            <w:vAlign w:val="center"/>
          </w:tcPr>
          <w:p w14:paraId="2D611C22" w14:textId="77777777" w:rsidR="00D43DC8" w:rsidRDefault="00D43DC8">
            <w:pPr>
              <w:spacing w:before="120" w:after="120"/>
              <w:jc w:val="center"/>
              <w:rPr>
                <w:rFonts w:ascii="Arial" w:hAnsi="Arial" w:cs="Arial"/>
                <w:sz w:val="18"/>
              </w:rPr>
            </w:pPr>
            <w:r>
              <w:rPr>
                <w:rFonts w:ascii="Arial" w:hAnsi="Arial" w:cs="Arial"/>
                <w:snapToGrid w:val="0"/>
                <w:color w:val="000000"/>
                <w:sz w:val="18"/>
              </w:rPr>
              <w:t xml:space="preserve">2 </w:t>
            </w:r>
            <w:r>
              <w:rPr>
                <w:rFonts w:ascii="Arial" w:hAnsi="Arial" w:cs="Arial"/>
                <w:bCs/>
                <w:sz w:val="18"/>
              </w:rPr>
              <w:t>Mbit/s</w:t>
            </w:r>
          </w:p>
        </w:tc>
        <w:tc>
          <w:tcPr>
            <w:tcW w:w="1699" w:type="dxa"/>
            <w:vAlign w:val="center"/>
          </w:tcPr>
          <w:p w14:paraId="01811BDF" w14:textId="77777777" w:rsidR="00D43DC8" w:rsidRDefault="00D43DC8">
            <w:pPr>
              <w:spacing w:before="120" w:after="120"/>
              <w:jc w:val="right"/>
              <w:rPr>
                <w:rFonts w:ascii="Arial" w:eastAsia="Arial Unicode MS" w:hAnsi="Arial" w:cs="Arial"/>
                <w:b/>
                <w:bCs/>
                <w:sz w:val="18"/>
                <w:szCs w:val="18"/>
              </w:rPr>
            </w:pPr>
            <w:r>
              <w:rPr>
                <w:rFonts w:ascii="Arial" w:hAnsi="Arial" w:cs="Arial"/>
                <w:b/>
                <w:bCs/>
                <w:sz w:val="18"/>
                <w:szCs w:val="18"/>
              </w:rPr>
              <w:t>$3,306.75</w:t>
            </w:r>
          </w:p>
        </w:tc>
        <w:tc>
          <w:tcPr>
            <w:tcW w:w="1700" w:type="dxa"/>
            <w:vAlign w:val="center"/>
          </w:tcPr>
          <w:p w14:paraId="5116F37B" w14:textId="77777777" w:rsidR="00D43DC8" w:rsidRDefault="00D43DC8">
            <w:pPr>
              <w:spacing w:before="120" w:after="120"/>
              <w:jc w:val="right"/>
              <w:rPr>
                <w:rFonts w:ascii="Arial" w:eastAsia="Arial Unicode MS" w:hAnsi="Arial" w:cs="Arial"/>
                <w:b/>
                <w:bCs/>
                <w:sz w:val="18"/>
                <w:szCs w:val="18"/>
              </w:rPr>
            </w:pPr>
            <w:r>
              <w:rPr>
                <w:rFonts w:ascii="Arial" w:hAnsi="Arial" w:cs="Arial"/>
                <w:b/>
                <w:bCs/>
                <w:sz w:val="18"/>
                <w:szCs w:val="18"/>
              </w:rPr>
              <w:t>$3,584.75</w:t>
            </w:r>
          </w:p>
        </w:tc>
        <w:tc>
          <w:tcPr>
            <w:tcW w:w="1706" w:type="dxa"/>
            <w:gridSpan w:val="2"/>
            <w:vAlign w:val="center"/>
          </w:tcPr>
          <w:p w14:paraId="78879BBC" w14:textId="77777777" w:rsidR="00D43DC8" w:rsidRDefault="00D43DC8">
            <w:pPr>
              <w:spacing w:before="120" w:after="120"/>
              <w:jc w:val="right"/>
              <w:rPr>
                <w:rFonts w:ascii="Arial" w:eastAsia="Arial Unicode MS" w:hAnsi="Arial" w:cs="Arial"/>
                <w:b/>
                <w:bCs/>
                <w:sz w:val="18"/>
                <w:szCs w:val="18"/>
              </w:rPr>
            </w:pPr>
            <w:r>
              <w:rPr>
                <w:rFonts w:ascii="Arial" w:hAnsi="Arial" w:cs="Arial"/>
                <w:b/>
                <w:bCs/>
                <w:sz w:val="18"/>
                <w:szCs w:val="18"/>
              </w:rPr>
              <w:t>$4,154.33</w:t>
            </w:r>
          </w:p>
        </w:tc>
      </w:tr>
      <w:tr w:rsidR="00D43DC8" w14:paraId="7B6DC4B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699" w:type="dxa"/>
            <w:vAlign w:val="center"/>
          </w:tcPr>
          <w:p w14:paraId="78C1639F" w14:textId="77777777" w:rsidR="00D43DC8" w:rsidRDefault="00D43DC8">
            <w:pPr>
              <w:spacing w:before="120" w:after="120"/>
              <w:jc w:val="center"/>
              <w:rPr>
                <w:rFonts w:ascii="Arial" w:hAnsi="Arial" w:cs="Arial"/>
                <w:snapToGrid w:val="0"/>
                <w:color w:val="000000"/>
                <w:sz w:val="18"/>
              </w:rPr>
            </w:pPr>
            <w:r>
              <w:rPr>
                <w:rFonts w:ascii="Arial" w:hAnsi="Arial" w:cs="Arial"/>
                <w:snapToGrid w:val="0"/>
                <w:color w:val="000000"/>
                <w:sz w:val="18"/>
              </w:rPr>
              <w:t xml:space="preserve">10 </w:t>
            </w:r>
            <w:r>
              <w:rPr>
                <w:rFonts w:ascii="Arial" w:hAnsi="Arial" w:cs="Arial"/>
                <w:bCs/>
                <w:sz w:val="18"/>
              </w:rPr>
              <w:t>Mbit/s</w:t>
            </w:r>
          </w:p>
        </w:tc>
        <w:tc>
          <w:tcPr>
            <w:tcW w:w="1699" w:type="dxa"/>
            <w:vAlign w:val="center"/>
          </w:tcPr>
          <w:p w14:paraId="2E17D348" w14:textId="77777777" w:rsidR="00D43DC8" w:rsidRDefault="00D43DC8">
            <w:pPr>
              <w:spacing w:before="120" w:after="120"/>
              <w:jc w:val="right"/>
              <w:rPr>
                <w:rFonts w:ascii="Arial" w:eastAsia="Arial Unicode MS" w:hAnsi="Arial" w:cs="Arial"/>
                <w:b/>
                <w:bCs/>
                <w:sz w:val="18"/>
                <w:szCs w:val="18"/>
              </w:rPr>
            </w:pPr>
            <w:r>
              <w:rPr>
                <w:rFonts w:ascii="Arial" w:hAnsi="Arial" w:cs="Arial"/>
                <w:b/>
                <w:bCs/>
                <w:sz w:val="18"/>
                <w:szCs w:val="18"/>
              </w:rPr>
              <w:t>$4,507.67</w:t>
            </w:r>
          </w:p>
        </w:tc>
        <w:tc>
          <w:tcPr>
            <w:tcW w:w="1700" w:type="dxa"/>
            <w:vAlign w:val="center"/>
          </w:tcPr>
          <w:p w14:paraId="63114932" w14:textId="77777777" w:rsidR="00D43DC8" w:rsidRDefault="00D43DC8">
            <w:pPr>
              <w:spacing w:before="120" w:after="120"/>
              <w:jc w:val="right"/>
              <w:rPr>
                <w:rFonts w:ascii="Arial" w:eastAsia="Arial Unicode MS" w:hAnsi="Arial" w:cs="Arial"/>
                <w:b/>
                <w:bCs/>
                <w:sz w:val="18"/>
                <w:szCs w:val="18"/>
              </w:rPr>
            </w:pPr>
            <w:r>
              <w:rPr>
                <w:rFonts w:ascii="Arial" w:hAnsi="Arial" w:cs="Arial"/>
                <w:b/>
                <w:bCs/>
                <w:sz w:val="18"/>
                <w:szCs w:val="18"/>
              </w:rPr>
              <w:t>$4,921.92</w:t>
            </w:r>
          </w:p>
        </w:tc>
        <w:tc>
          <w:tcPr>
            <w:tcW w:w="1706" w:type="dxa"/>
            <w:gridSpan w:val="2"/>
            <w:vAlign w:val="center"/>
          </w:tcPr>
          <w:p w14:paraId="2931ED6A" w14:textId="77777777" w:rsidR="00D43DC8" w:rsidRDefault="00D43DC8">
            <w:pPr>
              <w:spacing w:before="120" w:after="120"/>
              <w:jc w:val="right"/>
              <w:rPr>
                <w:rFonts w:ascii="Arial" w:eastAsia="Arial Unicode MS" w:hAnsi="Arial" w:cs="Arial"/>
                <w:b/>
                <w:bCs/>
                <w:sz w:val="18"/>
                <w:szCs w:val="18"/>
              </w:rPr>
            </w:pPr>
            <w:r>
              <w:rPr>
                <w:rFonts w:ascii="Arial" w:hAnsi="Arial" w:cs="Arial"/>
                <w:b/>
                <w:bCs/>
                <w:sz w:val="18"/>
                <w:szCs w:val="18"/>
              </w:rPr>
              <w:t>$5,464.92</w:t>
            </w:r>
          </w:p>
        </w:tc>
      </w:tr>
      <w:tr w:rsidR="00D43DC8" w14:paraId="1D87CF2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699" w:type="dxa"/>
            <w:vAlign w:val="center"/>
          </w:tcPr>
          <w:p w14:paraId="3D2065B7" w14:textId="77777777" w:rsidR="00D43DC8" w:rsidRDefault="00D43DC8">
            <w:pPr>
              <w:spacing w:before="120" w:after="120"/>
              <w:jc w:val="center"/>
              <w:rPr>
                <w:rFonts w:ascii="Arial" w:hAnsi="Arial" w:cs="Arial"/>
                <w:snapToGrid w:val="0"/>
                <w:color w:val="000000"/>
                <w:sz w:val="18"/>
              </w:rPr>
            </w:pPr>
            <w:r>
              <w:rPr>
                <w:rFonts w:ascii="Arial" w:hAnsi="Arial" w:cs="Arial"/>
                <w:snapToGrid w:val="0"/>
                <w:color w:val="000000"/>
                <w:sz w:val="18"/>
              </w:rPr>
              <w:lastRenderedPageBreak/>
              <w:t>20</w:t>
            </w:r>
            <w:r>
              <w:rPr>
                <w:rFonts w:ascii="Arial" w:hAnsi="Arial" w:cs="Arial"/>
                <w:bCs/>
                <w:sz w:val="18"/>
              </w:rPr>
              <w:t xml:space="preserve"> Mbit/s</w:t>
            </w:r>
          </w:p>
        </w:tc>
        <w:tc>
          <w:tcPr>
            <w:tcW w:w="1699" w:type="dxa"/>
            <w:vAlign w:val="center"/>
          </w:tcPr>
          <w:p w14:paraId="1EEAF107" w14:textId="77777777" w:rsidR="00D43DC8" w:rsidRDefault="00D43DC8">
            <w:pPr>
              <w:spacing w:before="120" w:after="120"/>
              <w:jc w:val="right"/>
              <w:rPr>
                <w:rFonts w:ascii="Arial" w:eastAsia="Arial Unicode MS" w:hAnsi="Arial" w:cs="Arial"/>
                <w:b/>
                <w:bCs/>
                <w:sz w:val="18"/>
                <w:szCs w:val="18"/>
              </w:rPr>
            </w:pPr>
            <w:r>
              <w:rPr>
                <w:rFonts w:ascii="Arial" w:hAnsi="Arial" w:cs="Arial"/>
                <w:b/>
                <w:bCs/>
                <w:sz w:val="18"/>
                <w:szCs w:val="18"/>
              </w:rPr>
              <w:t>$5,811.75</w:t>
            </w:r>
          </w:p>
        </w:tc>
        <w:tc>
          <w:tcPr>
            <w:tcW w:w="1700" w:type="dxa"/>
            <w:vAlign w:val="center"/>
          </w:tcPr>
          <w:p w14:paraId="362D6153" w14:textId="77777777" w:rsidR="00D43DC8" w:rsidRDefault="00D43DC8">
            <w:pPr>
              <w:spacing w:before="120" w:after="120"/>
              <w:jc w:val="right"/>
              <w:rPr>
                <w:rFonts w:ascii="Arial" w:eastAsia="Arial Unicode MS" w:hAnsi="Arial" w:cs="Arial"/>
                <w:b/>
                <w:bCs/>
                <w:sz w:val="18"/>
                <w:szCs w:val="18"/>
              </w:rPr>
            </w:pPr>
            <w:r>
              <w:rPr>
                <w:rFonts w:ascii="Arial" w:hAnsi="Arial" w:cs="Arial"/>
                <w:b/>
                <w:bCs/>
                <w:sz w:val="18"/>
                <w:szCs w:val="18"/>
              </w:rPr>
              <w:t>$6,370.92</w:t>
            </w:r>
          </w:p>
        </w:tc>
        <w:tc>
          <w:tcPr>
            <w:tcW w:w="1706" w:type="dxa"/>
            <w:gridSpan w:val="2"/>
            <w:vAlign w:val="center"/>
          </w:tcPr>
          <w:p w14:paraId="05FB8772" w14:textId="77777777" w:rsidR="00D43DC8" w:rsidRDefault="00D43DC8">
            <w:pPr>
              <w:spacing w:before="120" w:after="120"/>
              <w:jc w:val="right"/>
              <w:rPr>
                <w:rFonts w:ascii="Arial" w:eastAsia="Arial Unicode MS" w:hAnsi="Arial" w:cs="Arial"/>
                <w:b/>
                <w:bCs/>
                <w:sz w:val="18"/>
                <w:szCs w:val="18"/>
              </w:rPr>
            </w:pPr>
            <w:r>
              <w:rPr>
                <w:rFonts w:ascii="Arial" w:hAnsi="Arial" w:cs="Arial"/>
                <w:b/>
                <w:bCs/>
                <w:sz w:val="18"/>
                <w:szCs w:val="18"/>
              </w:rPr>
              <w:t>$7,128.75</w:t>
            </w:r>
          </w:p>
        </w:tc>
      </w:tr>
      <w:tr w:rsidR="00D43DC8" w14:paraId="6810EBC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699" w:type="dxa"/>
            <w:vAlign w:val="center"/>
          </w:tcPr>
          <w:p w14:paraId="7E238BA5" w14:textId="77777777" w:rsidR="00D43DC8" w:rsidRDefault="00D43DC8">
            <w:pPr>
              <w:spacing w:before="120" w:after="120"/>
              <w:jc w:val="center"/>
              <w:rPr>
                <w:rFonts w:ascii="Arial" w:hAnsi="Arial" w:cs="Arial"/>
                <w:snapToGrid w:val="0"/>
                <w:color w:val="000000"/>
                <w:sz w:val="18"/>
              </w:rPr>
            </w:pPr>
            <w:r>
              <w:rPr>
                <w:rFonts w:ascii="Arial" w:hAnsi="Arial" w:cs="Arial"/>
                <w:snapToGrid w:val="0"/>
                <w:color w:val="000000"/>
                <w:sz w:val="18"/>
              </w:rPr>
              <w:t>50</w:t>
            </w:r>
            <w:r>
              <w:rPr>
                <w:rFonts w:ascii="Arial" w:hAnsi="Arial" w:cs="Arial"/>
                <w:bCs/>
                <w:sz w:val="18"/>
              </w:rPr>
              <w:t xml:space="preserve"> Mbit/s</w:t>
            </w:r>
          </w:p>
        </w:tc>
        <w:tc>
          <w:tcPr>
            <w:tcW w:w="1699" w:type="dxa"/>
            <w:vAlign w:val="center"/>
          </w:tcPr>
          <w:p w14:paraId="34B12FC7" w14:textId="77777777" w:rsidR="00D43DC8" w:rsidRDefault="00D43DC8">
            <w:pPr>
              <w:spacing w:before="120" w:after="120"/>
              <w:jc w:val="right"/>
              <w:rPr>
                <w:rFonts w:ascii="Arial" w:eastAsia="Arial Unicode MS" w:hAnsi="Arial" w:cs="Arial"/>
                <w:b/>
                <w:bCs/>
                <w:sz w:val="18"/>
                <w:szCs w:val="18"/>
              </w:rPr>
            </w:pPr>
            <w:r>
              <w:rPr>
                <w:rFonts w:ascii="Arial" w:hAnsi="Arial" w:cs="Arial"/>
                <w:b/>
                <w:bCs/>
                <w:sz w:val="18"/>
                <w:szCs w:val="18"/>
              </w:rPr>
              <w:t>$8,132.42</w:t>
            </w:r>
          </w:p>
        </w:tc>
        <w:tc>
          <w:tcPr>
            <w:tcW w:w="1700" w:type="dxa"/>
            <w:vAlign w:val="center"/>
          </w:tcPr>
          <w:p w14:paraId="0C82C26F" w14:textId="77777777" w:rsidR="00D43DC8" w:rsidRDefault="00D43DC8">
            <w:pPr>
              <w:spacing w:before="120" w:after="120"/>
              <w:jc w:val="right"/>
              <w:rPr>
                <w:rFonts w:ascii="Arial" w:eastAsia="Arial Unicode MS" w:hAnsi="Arial" w:cs="Arial"/>
                <w:b/>
                <w:bCs/>
                <w:sz w:val="18"/>
                <w:szCs w:val="18"/>
              </w:rPr>
            </w:pPr>
            <w:r>
              <w:rPr>
                <w:rFonts w:ascii="Arial" w:hAnsi="Arial" w:cs="Arial"/>
                <w:b/>
                <w:bCs/>
                <w:sz w:val="18"/>
                <w:szCs w:val="18"/>
              </w:rPr>
              <w:t>$8,946.00</w:t>
            </w:r>
          </w:p>
        </w:tc>
        <w:tc>
          <w:tcPr>
            <w:tcW w:w="1706" w:type="dxa"/>
            <w:gridSpan w:val="2"/>
            <w:vAlign w:val="center"/>
          </w:tcPr>
          <w:p w14:paraId="0F69C756" w14:textId="77777777" w:rsidR="00D43DC8" w:rsidRDefault="00D43DC8">
            <w:pPr>
              <w:spacing w:before="120" w:after="120"/>
              <w:jc w:val="right"/>
              <w:rPr>
                <w:rFonts w:ascii="Arial" w:eastAsia="Arial Unicode MS" w:hAnsi="Arial" w:cs="Arial"/>
                <w:b/>
                <w:bCs/>
                <w:sz w:val="18"/>
                <w:szCs w:val="18"/>
              </w:rPr>
            </w:pPr>
            <w:r>
              <w:rPr>
                <w:rFonts w:ascii="Arial" w:hAnsi="Arial" w:cs="Arial"/>
                <w:b/>
                <w:bCs/>
                <w:sz w:val="18"/>
                <w:szCs w:val="18"/>
              </w:rPr>
              <w:t>$10,116.33</w:t>
            </w:r>
          </w:p>
        </w:tc>
      </w:tr>
      <w:tr w:rsidR="00D43DC8" w14:paraId="119D7BD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699" w:type="dxa"/>
            <w:vAlign w:val="center"/>
          </w:tcPr>
          <w:p w14:paraId="6C31502F" w14:textId="77777777" w:rsidR="00D43DC8" w:rsidRDefault="00D43DC8">
            <w:pPr>
              <w:spacing w:before="120" w:after="120"/>
              <w:jc w:val="center"/>
              <w:rPr>
                <w:rFonts w:ascii="Arial" w:hAnsi="Arial" w:cs="Arial"/>
                <w:snapToGrid w:val="0"/>
                <w:color w:val="000000"/>
                <w:sz w:val="18"/>
              </w:rPr>
            </w:pPr>
            <w:r>
              <w:rPr>
                <w:rFonts w:ascii="Arial" w:hAnsi="Arial" w:cs="Arial"/>
                <w:snapToGrid w:val="0"/>
                <w:color w:val="000000"/>
                <w:sz w:val="18"/>
              </w:rPr>
              <w:t>100</w:t>
            </w:r>
            <w:r>
              <w:rPr>
                <w:rFonts w:ascii="Arial" w:hAnsi="Arial" w:cs="Arial"/>
                <w:bCs/>
                <w:sz w:val="18"/>
              </w:rPr>
              <w:t xml:space="preserve"> Mbit/s</w:t>
            </w:r>
          </w:p>
        </w:tc>
        <w:tc>
          <w:tcPr>
            <w:tcW w:w="1699" w:type="dxa"/>
            <w:vAlign w:val="center"/>
          </w:tcPr>
          <w:p w14:paraId="3ADE0BB1" w14:textId="77777777" w:rsidR="00D43DC8" w:rsidRDefault="00D43DC8">
            <w:pPr>
              <w:spacing w:before="120" w:after="120"/>
              <w:jc w:val="right"/>
              <w:rPr>
                <w:rFonts w:ascii="Arial" w:eastAsia="Arial Unicode MS" w:hAnsi="Arial" w:cs="Arial"/>
                <w:b/>
                <w:bCs/>
                <w:sz w:val="18"/>
                <w:szCs w:val="18"/>
              </w:rPr>
            </w:pPr>
            <w:r>
              <w:rPr>
                <w:rFonts w:ascii="Arial" w:hAnsi="Arial" w:cs="Arial"/>
                <w:b/>
                <w:bCs/>
                <w:sz w:val="18"/>
                <w:szCs w:val="18"/>
              </w:rPr>
              <w:t>$10,722.58</w:t>
            </w:r>
          </w:p>
        </w:tc>
        <w:tc>
          <w:tcPr>
            <w:tcW w:w="1700" w:type="dxa"/>
            <w:vAlign w:val="center"/>
          </w:tcPr>
          <w:p w14:paraId="73735F70" w14:textId="77777777" w:rsidR="00D43DC8" w:rsidRDefault="00D43DC8">
            <w:pPr>
              <w:spacing w:before="120" w:after="120"/>
              <w:jc w:val="right"/>
              <w:rPr>
                <w:rFonts w:ascii="Arial" w:eastAsia="Arial Unicode MS" w:hAnsi="Arial" w:cs="Arial"/>
                <w:b/>
                <w:bCs/>
                <w:sz w:val="18"/>
                <w:szCs w:val="18"/>
              </w:rPr>
            </w:pPr>
            <w:r>
              <w:rPr>
                <w:rFonts w:ascii="Arial" w:hAnsi="Arial" w:cs="Arial"/>
                <w:b/>
                <w:bCs/>
                <w:sz w:val="18"/>
                <w:szCs w:val="18"/>
              </w:rPr>
              <w:t>$11,568.42</w:t>
            </w:r>
          </w:p>
        </w:tc>
        <w:tc>
          <w:tcPr>
            <w:tcW w:w="1706" w:type="dxa"/>
            <w:gridSpan w:val="2"/>
            <w:vAlign w:val="center"/>
          </w:tcPr>
          <w:p w14:paraId="2C21393C" w14:textId="77777777" w:rsidR="00D43DC8" w:rsidRDefault="00D43DC8">
            <w:pPr>
              <w:spacing w:before="120" w:after="120"/>
              <w:jc w:val="right"/>
              <w:rPr>
                <w:rFonts w:ascii="Arial" w:eastAsia="Arial Unicode MS" w:hAnsi="Arial" w:cs="Arial"/>
                <w:b/>
                <w:bCs/>
                <w:sz w:val="18"/>
                <w:szCs w:val="18"/>
              </w:rPr>
            </w:pPr>
            <w:r>
              <w:rPr>
                <w:rFonts w:ascii="Arial" w:hAnsi="Arial" w:cs="Arial"/>
                <w:b/>
                <w:bCs/>
                <w:sz w:val="18"/>
                <w:szCs w:val="18"/>
              </w:rPr>
              <w:t>$13,033.75</w:t>
            </w:r>
          </w:p>
        </w:tc>
      </w:tr>
      <w:tr w:rsidR="00D43DC8" w14:paraId="7FCE50F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699" w:type="dxa"/>
            <w:vAlign w:val="center"/>
          </w:tcPr>
          <w:p w14:paraId="61A537DB" w14:textId="77777777" w:rsidR="00D43DC8" w:rsidRDefault="00D43DC8">
            <w:pPr>
              <w:spacing w:before="120" w:after="120"/>
              <w:jc w:val="center"/>
              <w:rPr>
                <w:rFonts w:ascii="Arial" w:hAnsi="Arial" w:cs="Arial"/>
                <w:snapToGrid w:val="0"/>
                <w:color w:val="000000"/>
                <w:sz w:val="18"/>
              </w:rPr>
            </w:pPr>
            <w:r>
              <w:rPr>
                <w:rFonts w:ascii="Arial" w:hAnsi="Arial" w:cs="Arial"/>
                <w:snapToGrid w:val="0"/>
                <w:color w:val="000000"/>
                <w:sz w:val="18"/>
              </w:rPr>
              <w:t xml:space="preserve">500 </w:t>
            </w:r>
            <w:r>
              <w:rPr>
                <w:rFonts w:ascii="Arial" w:hAnsi="Arial" w:cs="Arial"/>
                <w:bCs/>
                <w:sz w:val="18"/>
              </w:rPr>
              <w:t>Mbit/s</w:t>
            </w:r>
          </w:p>
        </w:tc>
        <w:tc>
          <w:tcPr>
            <w:tcW w:w="1699" w:type="dxa"/>
            <w:vAlign w:val="center"/>
          </w:tcPr>
          <w:p w14:paraId="1A5CA859" w14:textId="77777777" w:rsidR="00D43DC8" w:rsidRDefault="00D43DC8">
            <w:pPr>
              <w:spacing w:before="120" w:after="120"/>
              <w:jc w:val="right"/>
              <w:rPr>
                <w:rFonts w:ascii="Arial" w:eastAsia="Arial Unicode MS" w:hAnsi="Arial" w:cs="Arial"/>
                <w:b/>
                <w:bCs/>
                <w:sz w:val="18"/>
                <w:szCs w:val="18"/>
              </w:rPr>
            </w:pPr>
            <w:r>
              <w:rPr>
                <w:rFonts w:ascii="Arial" w:hAnsi="Arial" w:cs="Arial"/>
                <w:b/>
                <w:bCs/>
                <w:sz w:val="18"/>
                <w:szCs w:val="18"/>
              </w:rPr>
              <w:t>$19,387.58</w:t>
            </w:r>
          </w:p>
        </w:tc>
        <w:tc>
          <w:tcPr>
            <w:tcW w:w="1700" w:type="dxa"/>
            <w:vAlign w:val="center"/>
          </w:tcPr>
          <w:p w14:paraId="6FB3255D" w14:textId="77777777" w:rsidR="00D43DC8" w:rsidRDefault="00D43DC8">
            <w:pPr>
              <w:spacing w:before="120" w:after="120"/>
              <w:jc w:val="right"/>
              <w:rPr>
                <w:rFonts w:ascii="Arial" w:eastAsia="Arial Unicode MS" w:hAnsi="Arial" w:cs="Arial"/>
                <w:b/>
                <w:bCs/>
                <w:sz w:val="18"/>
                <w:szCs w:val="18"/>
              </w:rPr>
            </w:pPr>
            <w:r>
              <w:rPr>
                <w:rFonts w:ascii="Arial" w:hAnsi="Arial" w:cs="Arial"/>
                <w:b/>
                <w:bCs/>
                <w:sz w:val="18"/>
                <w:szCs w:val="18"/>
              </w:rPr>
              <w:t>$21,034.17</w:t>
            </w:r>
          </w:p>
        </w:tc>
        <w:tc>
          <w:tcPr>
            <w:tcW w:w="1706" w:type="dxa"/>
            <w:gridSpan w:val="2"/>
            <w:vAlign w:val="center"/>
          </w:tcPr>
          <w:p w14:paraId="46AD421E" w14:textId="77777777" w:rsidR="00D43DC8" w:rsidRDefault="00D43DC8">
            <w:pPr>
              <w:spacing w:before="120" w:after="120"/>
              <w:jc w:val="right"/>
              <w:rPr>
                <w:rFonts w:ascii="Arial" w:eastAsia="Arial Unicode MS" w:hAnsi="Arial" w:cs="Arial"/>
                <w:b/>
                <w:bCs/>
                <w:sz w:val="18"/>
                <w:szCs w:val="18"/>
              </w:rPr>
            </w:pPr>
            <w:r>
              <w:rPr>
                <w:rFonts w:ascii="Arial" w:hAnsi="Arial" w:cs="Arial"/>
                <w:b/>
                <w:bCs/>
                <w:sz w:val="18"/>
                <w:szCs w:val="18"/>
              </w:rPr>
              <w:t>$24,130.33</w:t>
            </w:r>
          </w:p>
        </w:tc>
      </w:tr>
      <w:tr w:rsidR="00D43DC8" w14:paraId="2A99B4A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699" w:type="dxa"/>
            <w:vAlign w:val="center"/>
          </w:tcPr>
          <w:p w14:paraId="2903F170" w14:textId="77777777" w:rsidR="00D43DC8" w:rsidRDefault="00D43DC8">
            <w:pPr>
              <w:spacing w:before="120" w:after="120"/>
              <w:jc w:val="center"/>
              <w:rPr>
                <w:rFonts w:ascii="Arial" w:hAnsi="Arial" w:cs="Arial"/>
                <w:snapToGrid w:val="0"/>
                <w:color w:val="000000"/>
                <w:sz w:val="18"/>
              </w:rPr>
            </w:pPr>
            <w:r>
              <w:rPr>
                <w:rFonts w:ascii="Arial" w:hAnsi="Arial" w:cs="Arial"/>
                <w:snapToGrid w:val="0"/>
                <w:color w:val="000000"/>
                <w:sz w:val="18"/>
              </w:rPr>
              <w:t>1000</w:t>
            </w:r>
            <w:r>
              <w:rPr>
                <w:rFonts w:ascii="Arial" w:hAnsi="Arial" w:cs="Arial"/>
                <w:bCs/>
                <w:sz w:val="18"/>
              </w:rPr>
              <w:t xml:space="preserve"> Mbit/s</w:t>
            </w:r>
          </w:p>
        </w:tc>
        <w:tc>
          <w:tcPr>
            <w:tcW w:w="1699" w:type="dxa"/>
            <w:vAlign w:val="center"/>
          </w:tcPr>
          <w:p w14:paraId="17521F0C" w14:textId="77777777" w:rsidR="00D43DC8" w:rsidRDefault="00D43DC8">
            <w:pPr>
              <w:spacing w:before="120" w:after="120"/>
              <w:jc w:val="right"/>
              <w:rPr>
                <w:rFonts w:ascii="Arial" w:eastAsia="Arial Unicode MS" w:hAnsi="Arial" w:cs="Arial"/>
                <w:b/>
                <w:bCs/>
                <w:sz w:val="18"/>
                <w:szCs w:val="18"/>
              </w:rPr>
            </w:pPr>
            <w:r>
              <w:rPr>
                <w:rFonts w:ascii="Arial" w:hAnsi="Arial" w:cs="Arial"/>
                <w:b/>
                <w:bCs/>
                <w:sz w:val="18"/>
                <w:szCs w:val="18"/>
              </w:rPr>
              <w:t>$25,026.33</w:t>
            </w:r>
          </w:p>
        </w:tc>
        <w:tc>
          <w:tcPr>
            <w:tcW w:w="1700" w:type="dxa"/>
            <w:vAlign w:val="center"/>
          </w:tcPr>
          <w:p w14:paraId="447DBC2B" w14:textId="77777777" w:rsidR="00D43DC8" w:rsidRDefault="00D43DC8">
            <w:pPr>
              <w:spacing w:before="120" w:after="120"/>
              <w:jc w:val="right"/>
              <w:rPr>
                <w:rFonts w:ascii="Arial" w:eastAsia="Arial Unicode MS" w:hAnsi="Arial" w:cs="Arial"/>
                <w:b/>
                <w:bCs/>
                <w:sz w:val="18"/>
                <w:szCs w:val="18"/>
              </w:rPr>
            </w:pPr>
            <w:r>
              <w:rPr>
                <w:rFonts w:ascii="Arial" w:hAnsi="Arial" w:cs="Arial"/>
                <w:b/>
                <w:bCs/>
                <w:sz w:val="18"/>
                <w:szCs w:val="18"/>
              </w:rPr>
              <w:t>$27,212.08</w:t>
            </w:r>
          </w:p>
        </w:tc>
        <w:tc>
          <w:tcPr>
            <w:tcW w:w="1706" w:type="dxa"/>
            <w:gridSpan w:val="2"/>
            <w:vAlign w:val="center"/>
          </w:tcPr>
          <w:p w14:paraId="26A888ED" w14:textId="77777777" w:rsidR="00D43DC8" w:rsidRDefault="00D43DC8">
            <w:pPr>
              <w:spacing w:before="120" w:after="120"/>
              <w:jc w:val="right"/>
              <w:rPr>
                <w:rFonts w:ascii="Arial" w:eastAsia="Arial Unicode MS" w:hAnsi="Arial" w:cs="Arial"/>
                <w:b/>
                <w:bCs/>
                <w:sz w:val="18"/>
                <w:szCs w:val="18"/>
              </w:rPr>
            </w:pPr>
            <w:r>
              <w:rPr>
                <w:rFonts w:ascii="Arial" w:hAnsi="Arial" w:cs="Arial"/>
                <w:b/>
                <w:bCs/>
                <w:sz w:val="18"/>
                <w:szCs w:val="18"/>
              </w:rPr>
              <w:t>$31,454.92</w:t>
            </w:r>
          </w:p>
        </w:tc>
      </w:tr>
    </w:tbl>
    <w:p w14:paraId="65B357BB" w14:textId="77777777" w:rsidR="00D43DC8" w:rsidRDefault="00D43DC8">
      <w:pPr>
        <w:pStyle w:val="TableData"/>
      </w:pPr>
    </w:p>
    <w:p w14:paraId="2C399992" w14:textId="77777777" w:rsidR="00D43DC8" w:rsidRDefault="00D43DC8">
      <w:pPr>
        <w:pStyle w:val="Heading1"/>
      </w:pPr>
      <w:bookmarkStart w:id="55" w:name="_Toc477170892"/>
      <w:r>
        <w:t>Charges – dual uplink and fully redundant connection</w:t>
      </w:r>
      <w:bookmarkEnd w:id="55"/>
    </w:p>
    <w:p w14:paraId="38C53A73" w14:textId="77777777" w:rsidR="00D43DC8" w:rsidRDefault="00D43DC8">
      <w:pPr>
        <w:pStyle w:val="Indent1"/>
      </w:pPr>
      <w:bookmarkStart w:id="56" w:name="_Toc477170893"/>
      <w:r>
        <w:t>Link bandwidth charges – to CBD</w:t>
      </w:r>
      <w:r>
        <w:t xml:space="preserve"> and business zones</w:t>
      </w:r>
      <w:bookmarkEnd w:id="56"/>
    </w:p>
    <w:p w14:paraId="01602167" w14:textId="77777777" w:rsidR="00D43DC8" w:rsidRDefault="00D43DC8">
      <w:pPr>
        <w:pStyle w:val="Heading2"/>
        <w:rPr>
          <w:lang w:val="en-US"/>
        </w:rPr>
      </w:pPr>
      <w:r>
        <w:t xml:space="preserve">We charge you the following link bandwidth for using a link to either a central business district zone or a business zone for Ethernet MAN dual uplink or Ethernet MAN fully redundant connection.  With the </w:t>
      </w:r>
      <w:r w:rsidR="00C90EEA">
        <w:t>b</w:t>
      </w:r>
      <w:r>
        <w:t>andwidth</w:t>
      </w:r>
      <w:r w:rsidR="00C90EEA">
        <w:t>-</w:t>
      </w:r>
      <w:r>
        <w:t>on</w:t>
      </w:r>
      <w:r w:rsidR="00C90EEA">
        <w:t>-d</w:t>
      </w:r>
      <w:r>
        <w:t>emand option our charge is based on the number of seconds the link bandwidth was provided at the relevant access speed.</w:t>
      </w:r>
    </w:p>
    <w:tbl>
      <w:tblPr>
        <w:tblW w:w="6804"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1699"/>
        <w:gridCol w:w="1700"/>
        <w:gridCol w:w="1700"/>
        <w:gridCol w:w="6"/>
      </w:tblGrid>
      <w:tr w:rsidR="00D43DC8" w14:paraId="4BA0F901" w14:textId="77777777">
        <w:tblPrEx>
          <w:tblCellMar>
            <w:top w:w="0" w:type="dxa"/>
            <w:bottom w:w="0" w:type="dxa"/>
          </w:tblCellMar>
        </w:tblPrEx>
        <w:trPr>
          <w:gridAfter w:val="1"/>
          <w:wAfter w:w="6" w:type="dxa"/>
          <w:trHeight w:val="486"/>
          <w:tblHeader/>
        </w:trPr>
        <w:tc>
          <w:tcPr>
            <w:tcW w:w="6798" w:type="dxa"/>
            <w:gridSpan w:val="4"/>
          </w:tcPr>
          <w:p w14:paraId="5FEE14CD" w14:textId="77777777" w:rsidR="00D43DC8" w:rsidRDefault="00D43DC8">
            <w:pPr>
              <w:keepNext/>
              <w:spacing w:before="120" w:after="120"/>
              <w:rPr>
                <w:rFonts w:ascii="Arial" w:hAnsi="Arial" w:cs="Arial"/>
                <w:sz w:val="18"/>
              </w:rPr>
            </w:pPr>
            <w:r>
              <w:rPr>
                <w:rFonts w:ascii="Arial" w:hAnsi="Arial" w:cs="Arial"/>
                <w:b/>
                <w:sz w:val="18"/>
              </w:rPr>
              <w:t>Annual link bandwidth rates – dual uplink and fully redundant connection</w:t>
            </w:r>
          </w:p>
        </w:tc>
      </w:tr>
      <w:tr w:rsidR="00D43DC8" w14:paraId="4E5F4018" w14:textId="77777777">
        <w:tblPrEx>
          <w:tblCellMar>
            <w:top w:w="0" w:type="dxa"/>
            <w:bottom w:w="0" w:type="dxa"/>
          </w:tblCellMar>
        </w:tblPrEx>
        <w:trPr>
          <w:gridAfter w:val="1"/>
          <w:wAfter w:w="6" w:type="dxa"/>
          <w:trHeight w:val="525"/>
          <w:tblHeader/>
        </w:trPr>
        <w:tc>
          <w:tcPr>
            <w:tcW w:w="1699" w:type="dxa"/>
            <w:tcBorders>
              <w:bottom w:val="nil"/>
            </w:tcBorders>
          </w:tcPr>
          <w:p w14:paraId="797D7C51" w14:textId="77777777" w:rsidR="00D43DC8" w:rsidRDefault="00D43DC8">
            <w:pPr>
              <w:keepNext/>
              <w:spacing w:before="120" w:after="120"/>
              <w:jc w:val="both"/>
              <w:rPr>
                <w:rFonts w:ascii="Arial" w:hAnsi="Arial" w:cs="Arial"/>
                <w:b/>
                <w:iCs/>
                <w:sz w:val="18"/>
              </w:rPr>
            </w:pPr>
            <w:r>
              <w:rPr>
                <w:rFonts w:ascii="Arial" w:hAnsi="Arial" w:cs="Arial"/>
                <w:b/>
                <w:iCs/>
                <w:sz w:val="18"/>
              </w:rPr>
              <w:t>Link bandwidth</w:t>
            </w:r>
          </w:p>
        </w:tc>
        <w:tc>
          <w:tcPr>
            <w:tcW w:w="1699" w:type="dxa"/>
          </w:tcPr>
          <w:p w14:paraId="5E173146" w14:textId="77777777" w:rsidR="00D43DC8" w:rsidRDefault="00D43DC8">
            <w:pPr>
              <w:keepNext/>
              <w:spacing w:before="120" w:after="120"/>
              <w:jc w:val="center"/>
              <w:rPr>
                <w:rFonts w:ascii="Arial" w:hAnsi="Arial" w:cs="Arial"/>
                <w:iCs/>
                <w:sz w:val="18"/>
              </w:rPr>
            </w:pPr>
            <w:r>
              <w:rPr>
                <w:rFonts w:ascii="Arial" w:hAnsi="Arial" w:cs="Arial"/>
                <w:b/>
                <w:iCs/>
                <w:snapToGrid w:val="0"/>
                <w:sz w:val="18"/>
              </w:rPr>
              <w:t>Central business district zone to central business district zone</w:t>
            </w:r>
          </w:p>
        </w:tc>
        <w:tc>
          <w:tcPr>
            <w:tcW w:w="1700" w:type="dxa"/>
          </w:tcPr>
          <w:p w14:paraId="3ACA4264" w14:textId="77777777" w:rsidR="00D43DC8" w:rsidRDefault="00D43DC8">
            <w:pPr>
              <w:keepNext/>
              <w:spacing w:before="120" w:after="120"/>
              <w:jc w:val="center"/>
              <w:rPr>
                <w:rFonts w:ascii="Arial" w:hAnsi="Arial" w:cs="Arial"/>
                <w:iCs/>
                <w:sz w:val="18"/>
              </w:rPr>
            </w:pPr>
            <w:r>
              <w:rPr>
                <w:rFonts w:ascii="Arial" w:hAnsi="Arial" w:cs="Arial"/>
                <w:b/>
                <w:iCs/>
                <w:snapToGrid w:val="0"/>
                <w:sz w:val="18"/>
              </w:rPr>
              <w:t>Central business district zone to business zone</w:t>
            </w:r>
          </w:p>
        </w:tc>
        <w:tc>
          <w:tcPr>
            <w:tcW w:w="1700" w:type="dxa"/>
          </w:tcPr>
          <w:p w14:paraId="7C61C8BF" w14:textId="77777777" w:rsidR="00D43DC8" w:rsidRDefault="00D43DC8">
            <w:pPr>
              <w:keepNext/>
              <w:spacing w:before="120" w:after="120"/>
              <w:jc w:val="center"/>
              <w:rPr>
                <w:rFonts w:ascii="Arial" w:hAnsi="Arial" w:cs="Arial"/>
                <w:iCs/>
                <w:sz w:val="18"/>
              </w:rPr>
            </w:pPr>
            <w:r>
              <w:rPr>
                <w:rFonts w:ascii="Arial" w:hAnsi="Arial" w:cs="Arial"/>
                <w:b/>
                <w:iCs/>
                <w:snapToGrid w:val="0"/>
                <w:sz w:val="18"/>
              </w:rPr>
              <w:t>Business zone to business zone</w:t>
            </w:r>
          </w:p>
        </w:tc>
      </w:tr>
      <w:tr w:rsidR="00D43DC8" w14:paraId="2277B465" w14:textId="77777777">
        <w:tblPrEx>
          <w:tblCellMar>
            <w:top w:w="0" w:type="dxa"/>
            <w:bottom w:w="0" w:type="dxa"/>
          </w:tblCellMar>
        </w:tblPrEx>
        <w:trPr>
          <w:trHeight w:val="540"/>
          <w:tblHeader/>
        </w:trPr>
        <w:tc>
          <w:tcPr>
            <w:tcW w:w="1699" w:type="dxa"/>
            <w:tcBorders>
              <w:top w:val="nil"/>
            </w:tcBorders>
          </w:tcPr>
          <w:p w14:paraId="372ACA89" w14:textId="77777777" w:rsidR="00D43DC8" w:rsidRDefault="00D43DC8">
            <w:pPr>
              <w:keepNext/>
              <w:spacing w:before="120" w:after="120"/>
              <w:jc w:val="center"/>
              <w:rPr>
                <w:rFonts w:ascii="Arial" w:hAnsi="Arial" w:cs="Arial"/>
                <w:sz w:val="18"/>
              </w:rPr>
            </w:pPr>
          </w:p>
        </w:tc>
        <w:tc>
          <w:tcPr>
            <w:tcW w:w="1699" w:type="dxa"/>
          </w:tcPr>
          <w:p w14:paraId="7FA8C03C" w14:textId="77777777" w:rsidR="00D43DC8" w:rsidRPr="00D34C76" w:rsidRDefault="00D43DC8">
            <w:pPr>
              <w:keepNext/>
              <w:spacing w:before="120" w:after="120"/>
              <w:jc w:val="center"/>
              <w:rPr>
                <w:rFonts w:ascii="Arial" w:hAnsi="Arial" w:cs="Arial"/>
                <w:bCs/>
                <w:sz w:val="18"/>
              </w:rPr>
            </w:pPr>
            <w:r w:rsidRPr="00D34C76">
              <w:rPr>
                <w:rFonts w:ascii="Arial" w:hAnsi="Arial" w:cs="Arial"/>
                <w:bCs/>
                <w:snapToGrid w:val="0"/>
                <w:sz w:val="18"/>
              </w:rPr>
              <w:t>(GST excl.)</w:t>
            </w:r>
          </w:p>
        </w:tc>
        <w:tc>
          <w:tcPr>
            <w:tcW w:w="1700" w:type="dxa"/>
          </w:tcPr>
          <w:p w14:paraId="07E3AF2B" w14:textId="77777777" w:rsidR="00D43DC8" w:rsidRPr="00D34C76" w:rsidRDefault="00D43DC8">
            <w:pPr>
              <w:keepNext/>
              <w:spacing w:before="120" w:after="120"/>
              <w:jc w:val="center"/>
              <w:rPr>
                <w:rFonts w:ascii="Arial" w:hAnsi="Arial" w:cs="Arial"/>
                <w:bCs/>
                <w:sz w:val="18"/>
              </w:rPr>
            </w:pPr>
            <w:r w:rsidRPr="00D34C76">
              <w:rPr>
                <w:rFonts w:ascii="Arial" w:hAnsi="Arial" w:cs="Arial"/>
                <w:bCs/>
                <w:snapToGrid w:val="0"/>
                <w:sz w:val="18"/>
              </w:rPr>
              <w:t>(GST excl.)</w:t>
            </w:r>
          </w:p>
        </w:tc>
        <w:tc>
          <w:tcPr>
            <w:tcW w:w="1706" w:type="dxa"/>
            <w:gridSpan w:val="2"/>
          </w:tcPr>
          <w:p w14:paraId="44C3B15A" w14:textId="77777777" w:rsidR="00D43DC8" w:rsidRPr="00D34C76" w:rsidRDefault="00D43DC8">
            <w:pPr>
              <w:keepNext/>
              <w:spacing w:before="120" w:after="120"/>
              <w:jc w:val="center"/>
              <w:rPr>
                <w:rFonts w:ascii="Arial" w:hAnsi="Arial" w:cs="Arial"/>
                <w:bCs/>
                <w:sz w:val="18"/>
              </w:rPr>
            </w:pPr>
            <w:r w:rsidRPr="00D34C76">
              <w:rPr>
                <w:rFonts w:ascii="Arial" w:hAnsi="Arial" w:cs="Arial"/>
                <w:bCs/>
                <w:snapToGrid w:val="0"/>
                <w:sz w:val="18"/>
              </w:rPr>
              <w:t>(GST excl.)</w:t>
            </w:r>
          </w:p>
        </w:tc>
      </w:tr>
      <w:tr w:rsidR="00D43DC8" w14:paraId="3435C4C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699" w:type="dxa"/>
          </w:tcPr>
          <w:p w14:paraId="65505357" w14:textId="77777777" w:rsidR="00D43DC8" w:rsidRDefault="00D43DC8">
            <w:pPr>
              <w:spacing w:before="120" w:after="120"/>
              <w:jc w:val="center"/>
              <w:rPr>
                <w:rFonts w:ascii="Arial" w:hAnsi="Arial" w:cs="Arial"/>
                <w:sz w:val="18"/>
              </w:rPr>
            </w:pPr>
            <w:r>
              <w:rPr>
                <w:rFonts w:ascii="Arial" w:hAnsi="Arial" w:cs="Arial"/>
                <w:snapToGrid w:val="0"/>
                <w:color w:val="000000"/>
                <w:sz w:val="18"/>
              </w:rPr>
              <w:t>2 Mbit/s</w:t>
            </w:r>
          </w:p>
        </w:tc>
        <w:tc>
          <w:tcPr>
            <w:tcW w:w="1699" w:type="dxa"/>
          </w:tcPr>
          <w:p w14:paraId="559A29D7"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$23,984.00</w:t>
            </w:r>
          </w:p>
        </w:tc>
        <w:tc>
          <w:tcPr>
            <w:tcW w:w="1700" w:type="dxa"/>
          </w:tcPr>
          <w:p w14:paraId="1643F2E7"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$28,421.00</w:t>
            </w:r>
          </w:p>
        </w:tc>
        <w:tc>
          <w:tcPr>
            <w:tcW w:w="1706" w:type="dxa"/>
            <w:gridSpan w:val="2"/>
          </w:tcPr>
          <w:p w14:paraId="47CA3A92"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$32,858.00</w:t>
            </w:r>
          </w:p>
        </w:tc>
      </w:tr>
      <w:tr w:rsidR="00D43DC8" w14:paraId="0C69A36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699" w:type="dxa"/>
          </w:tcPr>
          <w:p w14:paraId="0DCB3361" w14:textId="77777777" w:rsidR="00D43DC8" w:rsidRDefault="00D43DC8">
            <w:pPr>
              <w:spacing w:before="120" w:after="120"/>
              <w:jc w:val="center"/>
              <w:rPr>
                <w:rFonts w:ascii="Arial" w:hAnsi="Arial" w:cs="Arial"/>
                <w:sz w:val="18"/>
              </w:rPr>
            </w:pPr>
            <w:r>
              <w:rPr>
                <w:rFonts w:ascii="Arial" w:hAnsi="Arial" w:cs="Arial"/>
                <w:snapToGrid w:val="0"/>
                <w:color w:val="000000"/>
                <w:sz w:val="18"/>
              </w:rPr>
              <w:t>3 Mbit/s</w:t>
            </w:r>
          </w:p>
        </w:tc>
        <w:tc>
          <w:tcPr>
            <w:tcW w:w="1699" w:type="dxa"/>
          </w:tcPr>
          <w:p w14:paraId="477EDA58"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$25,430.00</w:t>
            </w:r>
          </w:p>
        </w:tc>
        <w:tc>
          <w:tcPr>
            <w:tcW w:w="1700" w:type="dxa"/>
          </w:tcPr>
          <w:p w14:paraId="688B2E18"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$30,135.00</w:t>
            </w:r>
          </w:p>
        </w:tc>
        <w:tc>
          <w:tcPr>
            <w:tcW w:w="1706" w:type="dxa"/>
            <w:gridSpan w:val="2"/>
          </w:tcPr>
          <w:p w14:paraId="3E743D8A"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$34,840.00</w:t>
            </w:r>
          </w:p>
        </w:tc>
      </w:tr>
      <w:tr w:rsidR="00D43DC8" w14:paraId="4B1C597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699" w:type="dxa"/>
          </w:tcPr>
          <w:p w14:paraId="4BAEC989" w14:textId="77777777" w:rsidR="00D43DC8" w:rsidRDefault="00D43DC8">
            <w:pPr>
              <w:spacing w:before="120" w:after="120"/>
              <w:jc w:val="center"/>
              <w:rPr>
                <w:rFonts w:ascii="Arial" w:hAnsi="Arial" w:cs="Arial"/>
                <w:sz w:val="18"/>
              </w:rPr>
            </w:pPr>
            <w:r>
              <w:rPr>
                <w:rFonts w:ascii="Arial" w:hAnsi="Arial" w:cs="Arial"/>
                <w:snapToGrid w:val="0"/>
                <w:color w:val="000000"/>
                <w:sz w:val="18"/>
              </w:rPr>
              <w:t>4 Mbit/s</w:t>
            </w:r>
          </w:p>
        </w:tc>
        <w:tc>
          <w:tcPr>
            <w:tcW w:w="1699" w:type="dxa"/>
          </w:tcPr>
          <w:p w14:paraId="0B76772C"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$26,877.00</w:t>
            </w:r>
          </w:p>
        </w:tc>
        <w:tc>
          <w:tcPr>
            <w:tcW w:w="1700" w:type="dxa"/>
          </w:tcPr>
          <w:p w14:paraId="5AC683C3"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$31,849.00</w:t>
            </w:r>
          </w:p>
        </w:tc>
        <w:tc>
          <w:tcPr>
            <w:tcW w:w="1706" w:type="dxa"/>
            <w:gridSpan w:val="2"/>
          </w:tcPr>
          <w:p w14:paraId="0CB9B333"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$36,821.00</w:t>
            </w:r>
          </w:p>
        </w:tc>
      </w:tr>
      <w:tr w:rsidR="00D43DC8" w14:paraId="22834DD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699" w:type="dxa"/>
          </w:tcPr>
          <w:p w14:paraId="19A0C49C" w14:textId="77777777" w:rsidR="00D43DC8" w:rsidRDefault="00D43DC8">
            <w:pPr>
              <w:spacing w:before="120" w:after="120"/>
              <w:jc w:val="center"/>
              <w:rPr>
                <w:rFonts w:ascii="Arial" w:hAnsi="Arial" w:cs="Arial"/>
                <w:sz w:val="18"/>
              </w:rPr>
            </w:pPr>
            <w:r>
              <w:rPr>
                <w:rFonts w:ascii="Arial" w:hAnsi="Arial" w:cs="Arial"/>
                <w:snapToGrid w:val="0"/>
                <w:color w:val="000000"/>
                <w:sz w:val="18"/>
              </w:rPr>
              <w:t>8 Mbit/s</w:t>
            </w:r>
          </w:p>
        </w:tc>
        <w:tc>
          <w:tcPr>
            <w:tcW w:w="1699" w:type="dxa"/>
          </w:tcPr>
          <w:p w14:paraId="47A345C0"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$29,770.00</w:t>
            </w:r>
          </w:p>
        </w:tc>
        <w:tc>
          <w:tcPr>
            <w:tcW w:w="1700" w:type="dxa"/>
          </w:tcPr>
          <w:p w14:paraId="5DB7AF9D"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$35,277.00</w:t>
            </w:r>
          </w:p>
        </w:tc>
        <w:tc>
          <w:tcPr>
            <w:tcW w:w="1706" w:type="dxa"/>
            <w:gridSpan w:val="2"/>
          </w:tcPr>
          <w:p w14:paraId="6AD90435"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$40,784.00</w:t>
            </w:r>
          </w:p>
        </w:tc>
      </w:tr>
      <w:tr w:rsidR="00D43DC8" w14:paraId="64347AC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699" w:type="dxa"/>
          </w:tcPr>
          <w:p w14:paraId="224E93EA" w14:textId="77777777" w:rsidR="00D43DC8" w:rsidRDefault="00D43DC8">
            <w:pPr>
              <w:spacing w:before="120" w:after="120"/>
              <w:jc w:val="center"/>
              <w:rPr>
                <w:rFonts w:ascii="Arial" w:hAnsi="Arial" w:cs="Arial"/>
                <w:sz w:val="18"/>
              </w:rPr>
            </w:pPr>
            <w:r>
              <w:rPr>
                <w:rFonts w:ascii="Arial" w:hAnsi="Arial" w:cs="Arial"/>
                <w:snapToGrid w:val="0"/>
                <w:color w:val="000000"/>
                <w:sz w:val="18"/>
              </w:rPr>
              <w:lastRenderedPageBreak/>
              <w:t>10 Mbit/s</w:t>
            </w:r>
          </w:p>
        </w:tc>
        <w:tc>
          <w:tcPr>
            <w:tcW w:w="1699" w:type="dxa"/>
          </w:tcPr>
          <w:p w14:paraId="3B8D4B2E"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$32,800.00</w:t>
            </w:r>
          </w:p>
        </w:tc>
        <w:tc>
          <w:tcPr>
            <w:tcW w:w="1700" w:type="dxa"/>
          </w:tcPr>
          <w:p w14:paraId="3689EF04"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$38,808.00</w:t>
            </w:r>
          </w:p>
        </w:tc>
        <w:tc>
          <w:tcPr>
            <w:tcW w:w="1706" w:type="dxa"/>
            <w:gridSpan w:val="2"/>
          </w:tcPr>
          <w:p w14:paraId="64A334FB"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$44,820.00</w:t>
            </w:r>
          </w:p>
        </w:tc>
      </w:tr>
      <w:tr w:rsidR="00D43DC8" w14:paraId="621F71F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699" w:type="dxa"/>
          </w:tcPr>
          <w:p w14:paraId="4C579004" w14:textId="77777777" w:rsidR="00D43DC8" w:rsidRDefault="00D43DC8">
            <w:pPr>
              <w:spacing w:before="120" w:after="120"/>
              <w:jc w:val="center"/>
              <w:rPr>
                <w:rFonts w:ascii="Arial" w:hAnsi="Arial" w:cs="Arial"/>
                <w:sz w:val="18"/>
              </w:rPr>
            </w:pPr>
            <w:r>
              <w:rPr>
                <w:rFonts w:ascii="Arial" w:hAnsi="Arial" w:cs="Arial"/>
                <w:snapToGrid w:val="0"/>
                <w:color w:val="000000"/>
                <w:sz w:val="18"/>
              </w:rPr>
              <w:t>20 Mbit/s</w:t>
            </w:r>
          </w:p>
        </w:tc>
        <w:tc>
          <w:tcPr>
            <w:tcW w:w="1699" w:type="dxa"/>
          </w:tcPr>
          <w:p w14:paraId="563CD43A"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$56,520.00</w:t>
            </w:r>
          </w:p>
        </w:tc>
        <w:tc>
          <w:tcPr>
            <w:tcW w:w="1700" w:type="dxa"/>
          </w:tcPr>
          <w:p w14:paraId="76A688B0"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$67,500.00</w:t>
            </w:r>
          </w:p>
        </w:tc>
        <w:tc>
          <w:tcPr>
            <w:tcW w:w="1706" w:type="dxa"/>
            <w:gridSpan w:val="2"/>
          </w:tcPr>
          <w:p w14:paraId="6DD6BD0C"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$78,480.00</w:t>
            </w:r>
          </w:p>
        </w:tc>
      </w:tr>
      <w:tr w:rsidR="00D43DC8" w14:paraId="16B58AD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699" w:type="dxa"/>
          </w:tcPr>
          <w:p w14:paraId="6B63ED44" w14:textId="77777777" w:rsidR="00D43DC8" w:rsidRDefault="00D43DC8">
            <w:pPr>
              <w:spacing w:before="120" w:after="120"/>
              <w:jc w:val="center"/>
              <w:rPr>
                <w:rFonts w:ascii="Arial" w:hAnsi="Arial" w:cs="Arial"/>
                <w:sz w:val="18"/>
              </w:rPr>
            </w:pPr>
            <w:r>
              <w:rPr>
                <w:rFonts w:ascii="Arial" w:hAnsi="Arial" w:cs="Arial"/>
                <w:snapToGrid w:val="0"/>
                <w:color w:val="000000"/>
                <w:sz w:val="18"/>
              </w:rPr>
              <w:t>30 Mbit/s</w:t>
            </w:r>
          </w:p>
        </w:tc>
        <w:tc>
          <w:tcPr>
            <w:tcW w:w="1699" w:type="dxa"/>
          </w:tcPr>
          <w:p w14:paraId="7392300D"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$64,800.00</w:t>
            </w:r>
          </w:p>
        </w:tc>
        <w:tc>
          <w:tcPr>
            <w:tcW w:w="1700" w:type="dxa"/>
          </w:tcPr>
          <w:p w14:paraId="4A4A67B8"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$77,640.00</w:t>
            </w:r>
          </w:p>
        </w:tc>
        <w:tc>
          <w:tcPr>
            <w:tcW w:w="1706" w:type="dxa"/>
            <w:gridSpan w:val="2"/>
          </w:tcPr>
          <w:p w14:paraId="2379E792"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$90,480.00</w:t>
            </w:r>
          </w:p>
        </w:tc>
      </w:tr>
      <w:tr w:rsidR="00D43DC8" w14:paraId="111448F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699" w:type="dxa"/>
          </w:tcPr>
          <w:p w14:paraId="4D9BC919" w14:textId="77777777" w:rsidR="00D43DC8" w:rsidRDefault="00D43DC8">
            <w:pPr>
              <w:spacing w:before="120" w:after="120"/>
              <w:jc w:val="center"/>
              <w:rPr>
                <w:rFonts w:ascii="Arial" w:hAnsi="Arial" w:cs="Arial"/>
                <w:sz w:val="18"/>
              </w:rPr>
            </w:pPr>
            <w:r>
              <w:rPr>
                <w:rFonts w:ascii="Arial" w:hAnsi="Arial" w:cs="Arial"/>
                <w:snapToGrid w:val="0"/>
                <w:color w:val="000000"/>
                <w:sz w:val="18"/>
              </w:rPr>
              <w:t>40 Mbit/s</w:t>
            </w:r>
          </w:p>
        </w:tc>
        <w:tc>
          <w:tcPr>
            <w:tcW w:w="1699" w:type="dxa"/>
          </w:tcPr>
          <w:p w14:paraId="6C7E9501"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$71,280.00</w:t>
            </w:r>
          </w:p>
        </w:tc>
        <w:tc>
          <w:tcPr>
            <w:tcW w:w="1700" w:type="dxa"/>
          </w:tcPr>
          <w:p w14:paraId="4F2727CC"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$85,740.00</w:t>
            </w:r>
          </w:p>
        </w:tc>
        <w:tc>
          <w:tcPr>
            <w:tcW w:w="1706" w:type="dxa"/>
            <w:gridSpan w:val="2"/>
          </w:tcPr>
          <w:p w14:paraId="2C2E8E42"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$100,200.00</w:t>
            </w:r>
          </w:p>
        </w:tc>
      </w:tr>
      <w:tr w:rsidR="00D43DC8" w14:paraId="21DD241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699" w:type="dxa"/>
          </w:tcPr>
          <w:p w14:paraId="523F7D59" w14:textId="77777777" w:rsidR="00D43DC8" w:rsidRDefault="00D43DC8">
            <w:pPr>
              <w:spacing w:before="120" w:after="120"/>
              <w:jc w:val="center"/>
              <w:rPr>
                <w:rFonts w:ascii="Arial" w:hAnsi="Arial" w:cs="Arial"/>
                <w:sz w:val="18"/>
              </w:rPr>
            </w:pPr>
            <w:r>
              <w:rPr>
                <w:rFonts w:ascii="Arial" w:hAnsi="Arial" w:cs="Arial"/>
                <w:snapToGrid w:val="0"/>
                <w:color w:val="000000"/>
                <w:sz w:val="18"/>
              </w:rPr>
              <w:t>50 Mbit/s</w:t>
            </w:r>
          </w:p>
        </w:tc>
        <w:tc>
          <w:tcPr>
            <w:tcW w:w="1699" w:type="dxa"/>
          </w:tcPr>
          <w:p w14:paraId="68B8AED3"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$76,800.00</w:t>
            </w:r>
          </w:p>
        </w:tc>
        <w:tc>
          <w:tcPr>
            <w:tcW w:w="1700" w:type="dxa"/>
          </w:tcPr>
          <w:p w14:paraId="1017B949"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$92,640.00</w:t>
            </w:r>
          </w:p>
        </w:tc>
        <w:tc>
          <w:tcPr>
            <w:tcW w:w="1706" w:type="dxa"/>
            <w:gridSpan w:val="2"/>
          </w:tcPr>
          <w:p w14:paraId="792BD6D2"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$108,480.00</w:t>
            </w:r>
          </w:p>
        </w:tc>
      </w:tr>
      <w:tr w:rsidR="00D43DC8" w14:paraId="272C7C0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699" w:type="dxa"/>
          </w:tcPr>
          <w:p w14:paraId="3BBD3156" w14:textId="77777777" w:rsidR="00D43DC8" w:rsidRDefault="00D43DC8">
            <w:pPr>
              <w:spacing w:before="120" w:after="120"/>
              <w:jc w:val="center"/>
              <w:rPr>
                <w:rFonts w:ascii="Arial" w:hAnsi="Arial" w:cs="Arial"/>
                <w:sz w:val="18"/>
              </w:rPr>
            </w:pPr>
            <w:r>
              <w:rPr>
                <w:rFonts w:ascii="Arial" w:hAnsi="Arial" w:cs="Arial"/>
                <w:snapToGrid w:val="0"/>
                <w:color w:val="000000"/>
                <w:sz w:val="18"/>
              </w:rPr>
              <w:t>60 Mbit/s</w:t>
            </w:r>
          </w:p>
        </w:tc>
        <w:tc>
          <w:tcPr>
            <w:tcW w:w="1699" w:type="dxa"/>
          </w:tcPr>
          <w:p w14:paraId="641A7A92"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$81,600.00</w:t>
            </w:r>
          </w:p>
        </w:tc>
        <w:tc>
          <w:tcPr>
            <w:tcW w:w="1700" w:type="dxa"/>
          </w:tcPr>
          <w:p w14:paraId="66DD1412"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$98,640.00</w:t>
            </w:r>
          </w:p>
        </w:tc>
        <w:tc>
          <w:tcPr>
            <w:tcW w:w="1706" w:type="dxa"/>
            <w:gridSpan w:val="2"/>
          </w:tcPr>
          <w:p w14:paraId="4A57D8FF"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$115,680.00</w:t>
            </w:r>
          </w:p>
        </w:tc>
      </w:tr>
      <w:tr w:rsidR="00D43DC8" w14:paraId="0EB2ED8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699" w:type="dxa"/>
          </w:tcPr>
          <w:p w14:paraId="709F5775" w14:textId="77777777" w:rsidR="00D43DC8" w:rsidRDefault="00D43DC8">
            <w:pPr>
              <w:spacing w:before="120" w:after="120"/>
              <w:jc w:val="center"/>
              <w:rPr>
                <w:rFonts w:ascii="Arial" w:hAnsi="Arial" w:cs="Arial"/>
                <w:sz w:val="18"/>
              </w:rPr>
            </w:pPr>
            <w:r>
              <w:rPr>
                <w:rFonts w:ascii="Arial" w:hAnsi="Arial" w:cs="Arial"/>
                <w:snapToGrid w:val="0"/>
                <w:color w:val="000000"/>
                <w:sz w:val="18"/>
              </w:rPr>
              <w:t>70 Mbit/s</w:t>
            </w:r>
          </w:p>
        </w:tc>
        <w:tc>
          <w:tcPr>
            <w:tcW w:w="1699" w:type="dxa"/>
          </w:tcPr>
          <w:p w14:paraId="2BEB1CD0"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$85,920.00</w:t>
            </w:r>
          </w:p>
        </w:tc>
        <w:tc>
          <w:tcPr>
            <w:tcW w:w="1700" w:type="dxa"/>
          </w:tcPr>
          <w:p w14:paraId="75BD3465"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$104,040.00</w:t>
            </w:r>
          </w:p>
        </w:tc>
        <w:tc>
          <w:tcPr>
            <w:tcW w:w="1706" w:type="dxa"/>
            <w:gridSpan w:val="2"/>
          </w:tcPr>
          <w:p w14:paraId="769008EA"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$122,160.00</w:t>
            </w:r>
          </w:p>
        </w:tc>
      </w:tr>
      <w:tr w:rsidR="00D43DC8" w14:paraId="6ACC322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699" w:type="dxa"/>
          </w:tcPr>
          <w:p w14:paraId="014EF28B" w14:textId="77777777" w:rsidR="00D43DC8" w:rsidRDefault="00D43DC8">
            <w:pPr>
              <w:spacing w:before="120" w:after="120"/>
              <w:jc w:val="center"/>
              <w:rPr>
                <w:rFonts w:ascii="Arial" w:hAnsi="Arial" w:cs="Arial"/>
                <w:sz w:val="18"/>
              </w:rPr>
            </w:pPr>
            <w:r>
              <w:rPr>
                <w:rFonts w:ascii="Arial" w:hAnsi="Arial" w:cs="Arial"/>
                <w:snapToGrid w:val="0"/>
                <w:color w:val="000000"/>
                <w:sz w:val="18"/>
              </w:rPr>
              <w:t>80 Mbit/s</w:t>
            </w:r>
          </w:p>
        </w:tc>
        <w:tc>
          <w:tcPr>
            <w:tcW w:w="1699" w:type="dxa"/>
          </w:tcPr>
          <w:p w14:paraId="4CBB6F33"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$89,880.00</w:t>
            </w:r>
          </w:p>
        </w:tc>
        <w:tc>
          <w:tcPr>
            <w:tcW w:w="1700" w:type="dxa"/>
          </w:tcPr>
          <w:p w14:paraId="4DA5D3EA"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$108,960.00</w:t>
            </w:r>
          </w:p>
        </w:tc>
        <w:tc>
          <w:tcPr>
            <w:tcW w:w="1706" w:type="dxa"/>
            <w:gridSpan w:val="2"/>
          </w:tcPr>
          <w:p w14:paraId="6DBF9BE2"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$128,040.00</w:t>
            </w:r>
          </w:p>
        </w:tc>
      </w:tr>
      <w:tr w:rsidR="00D43DC8" w14:paraId="2BEE7B5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699" w:type="dxa"/>
          </w:tcPr>
          <w:p w14:paraId="36ADB29A" w14:textId="77777777" w:rsidR="00D43DC8" w:rsidRDefault="00D43DC8">
            <w:pPr>
              <w:spacing w:before="120" w:after="120"/>
              <w:jc w:val="center"/>
              <w:rPr>
                <w:rFonts w:ascii="Arial" w:hAnsi="Arial" w:cs="Arial"/>
                <w:sz w:val="18"/>
              </w:rPr>
            </w:pPr>
            <w:r>
              <w:rPr>
                <w:rFonts w:ascii="Arial" w:hAnsi="Arial" w:cs="Arial"/>
                <w:snapToGrid w:val="0"/>
                <w:color w:val="000000"/>
                <w:sz w:val="18"/>
              </w:rPr>
              <w:t>90 Mbit/s</w:t>
            </w:r>
          </w:p>
        </w:tc>
        <w:tc>
          <w:tcPr>
            <w:tcW w:w="1699" w:type="dxa"/>
          </w:tcPr>
          <w:p w14:paraId="40A99816"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$93,480.00</w:t>
            </w:r>
          </w:p>
        </w:tc>
        <w:tc>
          <w:tcPr>
            <w:tcW w:w="1700" w:type="dxa"/>
          </w:tcPr>
          <w:p w14:paraId="453C4B2D"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$113,520.00</w:t>
            </w:r>
          </w:p>
        </w:tc>
        <w:tc>
          <w:tcPr>
            <w:tcW w:w="1706" w:type="dxa"/>
            <w:gridSpan w:val="2"/>
          </w:tcPr>
          <w:p w14:paraId="351CC641"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$133,560.00</w:t>
            </w:r>
          </w:p>
        </w:tc>
      </w:tr>
      <w:tr w:rsidR="00D43DC8" w14:paraId="0AA63CD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699" w:type="dxa"/>
          </w:tcPr>
          <w:p w14:paraId="76FE7645" w14:textId="77777777" w:rsidR="00D43DC8" w:rsidRDefault="00D43DC8">
            <w:pPr>
              <w:spacing w:before="120" w:after="120"/>
              <w:jc w:val="center"/>
              <w:rPr>
                <w:rFonts w:ascii="Arial" w:hAnsi="Arial" w:cs="Arial"/>
                <w:sz w:val="18"/>
              </w:rPr>
            </w:pPr>
            <w:r>
              <w:rPr>
                <w:rFonts w:ascii="Arial" w:hAnsi="Arial" w:cs="Arial"/>
                <w:snapToGrid w:val="0"/>
                <w:color w:val="000000"/>
                <w:sz w:val="18"/>
              </w:rPr>
              <w:t>100 Mbit/s</w:t>
            </w:r>
          </w:p>
        </w:tc>
        <w:tc>
          <w:tcPr>
            <w:tcW w:w="1699" w:type="dxa"/>
          </w:tcPr>
          <w:p w14:paraId="1B0C21B7"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$96,840.00</w:t>
            </w:r>
          </w:p>
        </w:tc>
        <w:tc>
          <w:tcPr>
            <w:tcW w:w="1700" w:type="dxa"/>
          </w:tcPr>
          <w:p w14:paraId="3B762BA5"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$117,720.00</w:t>
            </w:r>
          </w:p>
        </w:tc>
        <w:tc>
          <w:tcPr>
            <w:tcW w:w="1706" w:type="dxa"/>
            <w:gridSpan w:val="2"/>
          </w:tcPr>
          <w:p w14:paraId="3F751B54"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$138,600.00</w:t>
            </w:r>
          </w:p>
        </w:tc>
      </w:tr>
      <w:tr w:rsidR="00D43DC8" w14:paraId="5D108D8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699" w:type="dxa"/>
          </w:tcPr>
          <w:p w14:paraId="26779C21" w14:textId="77777777" w:rsidR="00D43DC8" w:rsidRDefault="00D43DC8">
            <w:pPr>
              <w:spacing w:before="120" w:after="120"/>
              <w:jc w:val="center"/>
              <w:rPr>
                <w:rFonts w:ascii="Arial" w:hAnsi="Arial" w:cs="Arial"/>
                <w:sz w:val="18"/>
              </w:rPr>
            </w:pPr>
            <w:r>
              <w:rPr>
                <w:rFonts w:ascii="Arial" w:hAnsi="Arial" w:cs="Arial"/>
                <w:snapToGrid w:val="0"/>
                <w:color w:val="000000"/>
                <w:sz w:val="18"/>
              </w:rPr>
              <w:t>150 Mbit/s</w:t>
            </w:r>
          </w:p>
        </w:tc>
        <w:tc>
          <w:tcPr>
            <w:tcW w:w="1699" w:type="dxa"/>
          </w:tcPr>
          <w:p w14:paraId="55AD6A0A"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$110,880.00</w:t>
            </w:r>
          </w:p>
        </w:tc>
        <w:tc>
          <w:tcPr>
            <w:tcW w:w="1700" w:type="dxa"/>
          </w:tcPr>
          <w:p w14:paraId="78C9E97B"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$135,420.00</w:t>
            </w:r>
          </w:p>
        </w:tc>
        <w:tc>
          <w:tcPr>
            <w:tcW w:w="1706" w:type="dxa"/>
            <w:gridSpan w:val="2"/>
          </w:tcPr>
          <w:p w14:paraId="750F0A71"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$159,960.00</w:t>
            </w:r>
          </w:p>
        </w:tc>
      </w:tr>
      <w:tr w:rsidR="00D43DC8" w14:paraId="4E33F03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699" w:type="dxa"/>
          </w:tcPr>
          <w:p w14:paraId="5F1182D3" w14:textId="77777777" w:rsidR="00D43DC8" w:rsidRDefault="00D43DC8">
            <w:pPr>
              <w:spacing w:before="120" w:after="120"/>
              <w:jc w:val="center"/>
              <w:rPr>
                <w:rFonts w:ascii="Arial" w:hAnsi="Arial" w:cs="Arial"/>
                <w:sz w:val="18"/>
              </w:rPr>
            </w:pPr>
            <w:r>
              <w:rPr>
                <w:rFonts w:ascii="Arial" w:hAnsi="Arial" w:cs="Arial"/>
                <w:snapToGrid w:val="0"/>
                <w:color w:val="000000"/>
                <w:sz w:val="18"/>
              </w:rPr>
              <w:t>200 Mbit/s</w:t>
            </w:r>
          </w:p>
        </w:tc>
        <w:tc>
          <w:tcPr>
            <w:tcW w:w="1699" w:type="dxa"/>
          </w:tcPr>
          <w:p w14:paraId="3DD4C73F"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$122,040.00</w:t>
            </w:r>
          </w:p>
        </w:tc>
        <w:tc>
          <w:tcPr>
            <w:tcW w:w="1700" w:type="dxa"/>
          </w:tcPr>
          <w:p w14:paraId="26EC99A0"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$149,580.00</w:t>
            </w:r>
          </w:p>
        </w:tc>
        <w:tc>
          <w:tcPr>
            <w:tcW w:w="1706" w:type="dxa"/>
            <w:gridSpan w:val="2"/>
          </w:tcPr>
          <w:p w14:paraId="5DCE4B84"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$177,120.00</w:t>
            </w:r>
          </w:p>
        </w:tc>
      </w:tr>
      <w:tr w:rsidR="00D43DC8" w14:paraId="73C1BB6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699" w:type="dxa"/>
          </w:tcPr>
          <w:p w14:paraId="3993C2C7" w14:textId="77777777" w:rsidR="00D43DC8" w:rsidRDefault="00D43DC8">
            <w:pPr>
              <w:spacing w:before="120" w:after="120"/>
              <w:jc w:val="center"/>
              <w:rPr>
                <w:rFonts w:ascii="Arial" w:hAnsi="Arial" w:cs="Arial"/>
                <w:sz w:val="18"/>
              </w:rPr>
            </w:pPr>
            <w:r>
              <w:rPr>
                <w:rFonts w:ascii="Arial" w:hAnsi="Arial" w:cs="Arial"/>
                <w:snapToGrid w:val="0"/>
                <w:color w:val="000000"/>
                <w:sz w:val="18"/>
              </w:rPr>
              <w:t>300 Mbit/s</w:t>
            </w:r>
          </w:p>
        </w:tc>
        <w:tc>
          <w:tcPr>
            <w:tcW w:w="1699" w:type="dxa"/>
          </w:tcPr>
          <w:p w14:paraId="74A420BC"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$139,800.00</w:t>
            </w:r>
          </w:p>
        </w:tc>
        <w:tc>
          <w:tcPr>
            <w:tcW w:w="1700" w:type="dxa"/>
          </w:tcPr>
          <w:p w14:paraId="5788C155"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$172,140.00</w:t>
            </w:r>
          </w:p>
        </w:tc>
        <w:tc>
          <w:tcPr>
            <w:tcW w:w="1706" w:type="dxa"/>
            <w:gridSpan w:val="2"/>
          </w:tcPr>
          <w:p w14:paraId="346DCF98"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$204,480.00</w:t>
            </w:r>
          </w:p>
        </w:tc>
      </w:tr>
      <w:tr w:rsidR="00D43DC8" w14:paraId="489A9EE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699" w:type="dxa"/>
          </w:tcPr>
          <w:p w14:paraId="6A3F5FAB" w14:textId="77777777" w:rsidR="00D43DC8" w:rsidRDefault="00D43DC8">
            <w:pPr>
              <w:spacing w:before="120" w:after="120"/>
              <w:jc w:val="center"/>
              <w:rPr>
                <w:rFonts w:ascii="Arial" w:hAnsi="Arial" w:cs="Arial"/>
                <w:sz w:val="18"/>
              </w:rPr>
            </w:pPr>
            <w:r>
              <w:rPr>
                <w:rFonts w:ascii="Arial" w:hAnsi="Arial" w:cs="Arial"/>
                <w:snapToGrid w:val="0"/>
                <w:color w:val="000000"/>
                <w:sz w:val="18"/>
              </w:rPr>
              <w:t>400 Mbit/s</w:t>
            </w:r>
          </w:p>
        </w:tc>
        <w:tc>
          <w:tcPr>
            <w:tcW w:w="1699" w:type="dxa"/>
          </w:tcPr>
          <w:p w14:paraId="1C4609B3"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$153,840.00</w:t>
            </w:r>
          </w:p>
        </w:tc>
        <w:tc>
          <w:tcPr>
            <w:tcW w:w="1700" w:type="dxa"/>
          </w:tcPr>
          <w:p w14:paraId="45EEE50E"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$190,080.00</w:t>
            </w:r>
          </w:p>
        </w:tc>
        <w:tc>
          <w:tcPr>
            <w:tcW w:w="1706" w:type="dxa"/>
            <w:gridSpan w:val="2"/>
          </w:tcPr>
          <w:p w14:paraId="78D6196F"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$226,320.00</w:t>
            </w:r>
          </w:p>
        </w:tc>
      </w:tr>
      <w:tr w:rsidR="00D43DC8" w14:paraId="1683874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699" w:type="dxa"/>
          </w:tcPr>
          <w:p w14:paraId="6ECDD269" w14:textId="77777777" w:rsidR="00D43DC8" w:rsidRDefault="00D43DC8">
            <w:pPr>
              <w:spacing w:before="120" w:after="120"/>
              <w:jc w:val="center"/>
              <w:rPr>
                <w:rFonts w:ascii="Arial" w:hAnsi="Arial" w:cs="Arial"/>
                <w:sz w:val="18"/>
              </w:rPr>
            </w:pPr>
            <w:r>
              <w:rPr>
                <w:rFonts w:ascii="Arial" w:hAnsi="Arial" w:cs="Arial"/>
                <w:snapToGrid w:val="0"/>
                <w:color w:val="000000"/>
                <w:sz w:val="18"/>
              </w:rPr>
              <w:t>500 Mbit/s</w:t>
            </w:r>
          </w:p>
        </w:tc>
        <w:tc>
          <w:tcPr>
            <w:tcW w:w="1699" w:type="dxa"/>
          </w:tcPr>
          <w:p w14:paraId="690DFA95"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$165,840.00</w:t>
            </w:r>
          </w:p>
        </w:tc>
        <w:tc>
          <w:tcPr>
            <w:tcW w:w="1700" w:type="dxa"/>
          </w:tcPr>
          <w:p w14:paraId="58530A75"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$205,380.00</w:t>
            </w:r>
          </w:p>
        </w:tc>
        <w:tc>
          <w:tcPr>
            <w:tcW w:w="1706" w:type="dxa"/>
            <w:gridSpan w:val="2"/>
          </w:tcPr>
          <w:p w14:paraId="04C50CAA"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$244,920.00</w:t>
            </w:r>
          </w:p>
        </w:tc>
      </w:tr>
      <w:tr w:rsidR="00D43DC8" w14:paraId="765505B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699" w:type="dxa"/>
          </w:tcPr>
          <w:p w14:paraId="4EE9D7D5" w14:textId="77777777" w:rsidR="00D43DC8" w:rsidRDefault="00D43DC8">
            <w:pPr>
              <w:spacing w:before="120" w:after="120"/>
              <w:jc w:val="center"/>
              <w:rPr>
                <w:rFonts w:ascii="Arial" w:hAnsi="Arial" w:cs="Arial"/>
                <w:sz w:val="18"/>
              </w:rPr>
            </w:pPr>
            <w:r>
              <w:rPr>
                <w:rFonts w:ascii="Arial" w:hAnsi="Arial" w:cs="Arial"/>
                <w:snapToGrid w:val="0"/>
                <w:color w:val="000000"/>
                <w:sz w:val="18"/>
              </w:rPr>
              <w:t>600 Mbit/s</w:t>
            </w:r>
          </w:p>
        </w:tc>
        <w:tc>
          <w:tcPr>
            <w:tcW w:w="1699" w:type="dxa"/>
          </w:tcPr>
          <w:p w14:paraId="7C09D7D3"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$176,280.00</w:t>
            </w:r>
          </w:p>
        </w:tc>
        <w:tc>
          <w:tcPr>
            <w:tcW w:w="1700" w:type="dxa"/>
          </w:tcPr>
          <w:p w14:paraId="20A9A481"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$218,760.00</w:t>
            </w:r>
          </w:p>
        </w:tc>
        <w:tc>
          <w:tcPr>
            <w:tcW w:w="1706" w:type="dxa"/>
            <w:gridSpan w:val="2"/>
          </w:tcPr>
          <w:p w14:paraId="27189D3D"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$261,240.00</w:t>
            </w:r>
          </w:p>
        </w:tc>
      </w:tr>
      <w:tr w:rsidR="00D43DC8" w14:paraId="51B94EC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699" w:type="dxa"/>
          </w:tcPr>
          <w:p w14:paraId="36C97EDF" w14:textId="77777777" w:rsidR="00D43DC8" w:rsidRDefault="00D43DC8">
            <w:pPr>
              <w:spacing w:before="120" w:after="120"/>
              <w:jc w:val="center"/>
              <w:rPr>
                <w:rFonts w:ascii="Arial" w:hAnsi="Arial" w:cs="Arial"/>
                <w:sz w:val="18"/>
              </w:rPr>
            </w:pPr>
            <w:r>
              <w:rPr>
                <w:rFonts w:ascii="Arial" w:hAnsi="Arial" w:cs="Arial"/>
                <w:snapToGrid w:val="0"/>
                <w:color w:val="000000"/>
                <w:sz w:val="18"/>
              </w:rPr>
              <w:t>800 Mbit/s</w:t>
            </w:r>
          </w:p>
        </w:tc>
        <w:tc>
          <w:tcPr>
            <w:tcW w:w="1699" w:type="dxa"/>
          </w:tcPr>
          <w:p w14:paraId="6B1503CE"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$194,040.00</w:t>
            </w:r>
          </w:p>
        </w:tc>
        <w:tc>
          <w:tcPr>
            <w:tcW w:w="1700" w:type="dxa"/>
          </w:tcPr>
          <w:p w14:paraId="203FEB07"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$241,620.00</w:t>
            </w:r>
          </w:p>
        </w:tc>
        <w:tc>
          <w:tcPr>
            <w:tcW w:w="1706" w:type="dxa"/>
            <w:gridSpan w:val="2"/>
          </w:tcPr>
          <w:p w14:paraId="4F282251"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$289,200.00</w:t>
            </w:r>
          </w:p>
        </w:tc>
      </w:tr>
      <w:tr w:rsidR="00D43DC8" w14:paraId="411C2688"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699" w:type="dxa"/>
          </w:tcPr>
          <w:p w14:paraId="4D10CBFD" w14:textId="77777777" w:rsidR="00D43DC8" w:rsidRDefault="00D43DC8">
            <w:pPr>
              <w:spacing w:before="120" w:after="120"/>
              <w:jc w:val="center"/>
              <w:rPr>
                <w:rFonts w:ascii="Arial" w:hAnsi="Arial" w:cs="Arial"/>
                <w:sz w:val="18"/>
              </w:rPr>
            </w:pPr>
            <w:r>
              <w:rPr>
                <w:rFonts w:ascii="Arial" w:hAnsi="Arial" w:cs="Arial"/>
                <w:snapToGrid w:val="0"/>
                <w:color w:val="000000"/>
                <w:sz w:val="18"/>
              </w:rPr>
              <w:t>1000 Mbit/s</w:t>
            </w:r>
          </w:p>
        </w:tc>
        <w:tc>
          <w:tcPr>
            <w:tcW w:w="1699" w:type="dxa"/>
          </w:tcPr>
          <w:p w14:paraId="186E879F"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$209,040.00</w:t>
            </w:r>
          </w:p>
        </w:tc>
        <w:tc>
          <w:tcPr>
            <w:tcW w:w="1700" w:type="dxa"/>
          </w:tcPr>
          <w:p w14:paraId="6355A904"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$261,000.00</w:t>
            </w:r>
          </w:p>
        </w:tc>
        <w:tc>
          <w:tcPr>
            <w:tcW w:w="1706" w:type="dxa"/>
            <w:gridSpan w:val="2"/>
          </w:tcPr>
          <w:p w14:paraId="6841D884" w14:textId="77777777" w:rsidR="00D43DC8" w:rsidRDefault="00D43DC8">
            <w:pPr>
              <w:spacing w:before="120" w:after="120"/>
              <w:jc w:val="right"/>
              <w:rPr>
                <w:rFonts w:ascii="Arial Narrow" w:hAnsi="Arial Narrow"/>
                <w:b/>
                <w:bCs/>
                <w:snapToGrid w:val="0"/>
                <w:color w:val="000000"/>
                <w:sz w:val="18"/>
              </w:rPr>
            </w:pPr>
            <w:r>
              <w:rPr>
                <w:rFonts w:ascii="Arial" w:hAnsi="Arial"/>
                <w:b/>
                <w:bCs/>
                <w:snapToGrid w:val="0"/>
                <w:color w:val="000000"/>
                <w:sz w:val="18"/>
              </w:rPr>
              <w:t>$312,960.00</w:t>
            </w:r>
          </w:p>
        </w:tc>
      </w:tr>
    </w:tbl>
    <w:p w14:paraId="6FFEFC6E" w14:textId="77777777" w:rsidR="00D43DC8" w:rsidRDefault="00D43DC8">
      <w:pPr>
        <w:pStyle w:val="TableData"/>
      </w:pPr>
    </w:p>
    <w:p w14:paraId="2426FDAD" w14:textId="77777777" w:rsidR="00D43DC8" w:rsidRDefault="00D43DC8">
      <w:pPr>
        <w:pStyle w:val="Indent1"/>
      </w:pPr>
      <w:bookmarkStart w:id="57" w:name="_Toc477170894"/>
      <w:r>
        <w:lastRenderedPageBreak/>
        <w:t>Link bandwidth charges – to metropolitan zones</w:t>
      </w:r>
      <w:bookmarkEnd w:id="57"/>
    </w:p>
    <w:p w14:paraId="06DE971D" w14:textId="77777777" w:rsidR="00D43DC8" w:rsidRDefault="00D43DC8">
      <w:pPr>
        <w:pStyle w:val="Heading2"/>
      </w:pPr>
      <w:r>
        <w:t>We charge you the following link bandwidth charge for using a link to a metropolitan zone for Ethernet MAN dual uplink or Ethernet MAN fully redundant connection.  With the Bandwidth on Demand option our charge is based on the number of seconds the link bandwidth was provided at the relevant access speed.</w:t>
      </w:r>
    </w:p>
    <w:tbl>
      <w:tblPr>
        <w:tblW w:w="6804"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1701"/>
        <w:gridCol w:w="1701"/>
      </w:tblGrid>
      <w:tr w:rsidR="00D43DC8" w14:paraId="5C79C1EC" w14:textId="77777777">
        <w:tblPrEx>
          <w:tblCellMar>
            <w:top w:w="0" w:type="dxa"/>
            <w:bottom w:w="0" w:type="dxa"/>
          </w:tblCellMar>
        </w:tblPrEx>
        <w:trPr>
          <w:trHeight w:val="486"/>
          <w:tblHeader/>
        </w:trPr>
        <w:tc>
          <w:tcPr>
            <w:tcW w:w="6804" w:type="dxa"/>
            <w:gridSpan w:val="4"/>
          </w:tcPr>
          <w:p w14:paraId="2457EF08" w14:textId="77777777" w:rsidR="00D43DC8" w:rsidRDefault="00D43DC8">
            <w:pPr>
              <w:keepNext/>
              <w:spacing w:before="120" w:after="120"/>
              <w:rPr>
                <w:rFonts w:ascii="Arial" w:hAnsi="Arial" w:cs="Arial"/>
                <w:sz w:val="18"/>
              </w:rPr>
            </w:pPr>
            <w:r>
              <w:rPr>
                <w:rFonts w:ascii="Arial" w:hAnsi="Arial" w:cs="Arial"/>
                <w:b/>
                <w:sz w:val="18"/>
              </w:rPr>
              <w:t>Annual link bandwidth rates – dual uplink and fully redundant connection</w:t>
            </w:r>
          </w:p>
        </w:tc>
      </w:tr>
      <w:tr w:rsidR="00D43DC8" w:rsidRPr="00F92EB7" w14:paraId="7E565810" w14:textId="77777777">
        <w:tblPrEx>
          <w:tblCellMar>
            <w:top w:w="0" w:type="dxa"/>
            <w:bottom w:w="0" w:type="dxa"/>
          </w:tblCellMar>
        </w:tblPrEx>
        <w:trPr>
          <w:trHeight w:val="525"/>
          <w:tblHeader/>
        </w:trPr>
        <w:tc>
          <w:tcPr>
            <w:tcW w:w="1701" w:type="dxa"/>
            <w:tcBorders>
              <w:bottom w:val="nil"/>
            </w:tcBorders>
          </w:tcPr>
          <w:p w14:paraId="46116788" w14:textId="77777777" w:rsidR="00D43DC8" w:rsidRDefault="00D43DC8">
            <w:pPr>
              <w:keepNext/>
              <w:spacing w:before="120" w:after="120"/>
              <w:rPr>
                <w:rFonts w:ascii="Arial" w:hAnsi="Arial" w:cs="Arial"/>
                <w:b/>
                <w:iCs/>
                <w:sz w:val="18"/>
              </w:rPr>
            </w:pPr>
            <w:r>
              <w:rPr>
                <w:rFonts w:ascii="Arial" w:hAnsi="Arial" w:cs="Arial"/>
                <w:b/>
                <w:iCs/>
                <w:sz w:val="18"/>
              </w:rPr>
              <w:t>Link bandwidth</w:t>
            </w:r>
          </w:p>
        </w:tc>
        <w:tc>
          <w:tcPr>
            <w:tcW w:w="1701" w:type="dxa"/>
          </w:tcPr>
          <w:p w14:paraId="24BD9C5B" w14:textId="77777777" w:rsidR="00D43DC8" w:rsidRDefault="00D43DC8">
            <w:pPr>
              <w:keepNext/>
              <w:spacing w:before="120" w:after="120"/>
              <w:jc w:val="center"/>
              <w:rPr>
                <w:rFonts w:ascii="Arial" w:hAnsi="Arial" w:cs="Arial"/>
                <w:iCs/>
                <w:sz w:val="18"/>
              </w:rPr>
            </w:pPr>
            <w:r>
              <w:rPr>
                <w:rFonts w:ascii="Arial" w:hAnsi="Arial" w:cs="Arial"/>
                <w:b/>
                <w:iCs/>
                <w:snapToGrid w:val="0"/>
                <w:sz w:val="18"/>
              </w:rPr>
              <w:t>Central business district zone to metro zone</w:t>
            </w:r>
          </w:p>
        </w:tc>
        <w:tc>
          <w:tcPr>
            <w:tcW w:w="1701" w:type="dxa"/>
          </w:tcPr>
          <w:p w14:paraId="192421A2" w14:textId="77777777" w:rsidR="00D43DC8" w:rsidRDefault="00D43DC8">
            <w:pPr>
              <w:keepNext/>
              <w:spacing w:before="120" w:after="120"/>
              <w:jc w:val="center"/>
              <w:rPr>
                <w:rFonts w:ascii="Arial" w:hAnsi="Arial" w:cs="Arial"/>
                <w:iCs/>
                <w:sz w:val="18"/>
              </w:rPr>
            </w:pPr>
            <w:r>
              <w:rPr>
                <w:rFonts w:ascii="Arial" w:hAnsi="Arial" w:cs="Arial"/>
                <w:b/>
                <w:iCs/>
                <w:snapToGrid w:val="0"/>
                <w:sz w:val="18"/>
              </w:rPr>
              <w:t>Business zone to metro zone</w:t>
            </w:r>
          </w:p>
        </w:tc>
        <w:tc>
          <w:tcPr>
            <w:tcW w:w="1701" w:type="dxa"/>
          </w:tcPr>
          <w:p w14:paraId="1A2AFDC6" w14:textId="77777777" w:rsidR="00D43DC8" w:rsidRPr="00F92EB7" w:rsidRDefault="00D43DC8">
            <w:pPr>
              <w:keepNext/>
              <w:spacing w:before="120" w:after="120"/>
              <w:jc w:val="center"/>
              <w:rPr>
                <w:rFonts w:ascii="Arial" w:hAnsi="Arial" w:cs="Arial"/>
                <w:iCs/>
                <w:sz w:val="18"/>
                <w:lang w:val="fr-FR"/>
              </w:rPr>
            </w:pPr>
            <w:r w:rsidRPr="00F92EB7">
              <w:rPr>
                <w:rFonts w:ascii="Arial" w:hAnsi="Arial" w:cs="Arial"/>
                <w:b/>
                <w:iCs/>
                <w:snapToGrid w:val="0"/>
                <w:sz w:val="18"/>
                <w:lang w:val="fr-FR"/>
              </w:rPr>
              <w:t>Metro zone to metro zone</w:t>
            </w:r>
          </w:p>
        </w:tc>
      </w:tr>
      <w:tr w:rsidR="00D43DC8" w14:paraId="6DE24D02" w14:textId="77777777">
        <w:tblPrEx>
          <w:tblCellMar>
            <w:top w:w="0" w:type="dxa"/>
            <w:bottom w:w="0" w:type="dxa"/>
          </w:tblCellMar>
        </w:tblPrEx>
        <w:trPr>
          <w:trHeight w:val="540"/>
          <w:tblHeader/>
        </w:trPr>
        <w:tc>
          <w:tcPr>
            <w:tcW w:w="1701" w:type="dxa"/>
            <w:tcBorders>
              <w:top w:val="nil"/>
            </w:tcBorders>
          </w:tcPr>
          <w:p w14:paraId="517D546C" w14:textId="77777777" w:rsidR="00D43DC8" w:rsidRPr="00F92EB7" w:rsidRDefault="00D43DC8">
            <w:pPr>
              <w:keepNext/>
              <w:spacing w:before="120" w:after="120"/>
              <w:jc w:val="center"/>
              <w:rPr>
                <w:rFonts w:ascii="Arial" w:hAnsi="Arial" w:cs="Arial"/>
                <w:sz w:val="18"/>
                <w:lang w:val="fr-FR"/>
              </w:rPr>
            </w:pPr>
          </w:p>
        </w:tc>
        <w:tc>
          <w:tcPr>
            <w:tcW w:w="1701" w:type="dxa"/>
          </w:tcPr>
          <w:p w14:paraId="501CA1C1" w14:textId="77777777" w:rsidR="00D43DC8" w:rsidRPr="00D34C76" w:rsidRDefault="00D43DC8">
            <w:pPr>
              <w:keepNext/>
              <w:spacing w:before="120" w:after="120"/>
              <w:jc w:val="center"/>
              <w:rPr>
                <w:rFonts w:ascii="Arial" w:hAnsi="Arial" w:cs="Arial"/>
                <w:bCs/>
                <w:sz w:val="18"/>
              </w:rPr>
            </w:pPr>
            <w:r w:rsidRPr="00D34C76">
              <w:rPr>
                <w:rFonts w:ascii="Arial" w:hAnsi="Arial" w:cs="Arial"/>
                <w:bCs/>
                <w:snapToGrid w:val="0"/>
                <w:sz w:val="18"/>
              </w:rPr>
              <w:t>(GST excl.)</w:t>
            </w:r>
          </w:p>
        </w:tc>
        <w:tc>
          <w:tcPr>
            <w:tcW w:w="1701" w:type="dxa"/>
          </w:tcPr>
          <w:p w14:paraId="75763FE1" w14:textId="77777777" w:rsidR="00D43DC8" w:rsidRPr="00D34C76" w:rsidRDefault="00D43DC8">
            <w:pPr>
              <w:keepNext/>
              <w:spacing w:before="120" w:after="120"/>
              <w:jc w:val="center"/>
              <w:rPr>
                <w:rFonts w:ascii="Arial" w:hAnsi="Arial" w:cs="Arial"/>
                <w:bCs/>
                <w:sz w:val="18"/>
              </w:rPr>
            </w:pPr>
            <w:r w:rsidRPr="00D34C76">
              <w:rPr>
                <w:rFonts w:ascii="Arial" w:hAnsi="Arial" w:cs="Arial"/>
                <w:bCs/>
                <w:snapToGrid w:val="0"/>
                <w:sz w:val="18"/>
              </w:rPr>
              <w:t>(GST excl.)</w:t>
            </w:r>
          </w:p>
        </w:tc>
        <w:tc>
          <w:tcPr>
            <w:tcW w:w="1701" w:type="dxa"/>
          </w:tcPr>
          <w:p w14:paraId="547D819D" w14:textId="77777777" w:rsidR="00D43DC8" w:rsidRPr="00D34C76" w:rsidRDefault="00D43DC8">
            <w:pPr>
              <w:keepNext/>
              <w:spacing w:before="120" w:after="120"/>
              <w:jc w:val="center"/>
              <w:rPr>
                <w:rFonts w:ascii="Arial" w:hAnsi="Arial" w:cs="Arial"/>
                <w:bCs/>
                <w:sz w:val="18"/>
              </w:rPr>
            </w:pPr>
            <w:r w:rsidRPr="00D34C76">
              <w:rPr>
                <w:rFonts w:ascii="Arial" w:hAnsi="Arial" w:cs="Arial"/>
                <w:bCs/>
                <w:snapToGrid w:val="0"/>
                <w:sz w:val="18"/>
              </w:rPr>
              <w:t>(GST excl.)</w:t>
            </w:r>
          </w:p>
        </w:tc>
      </w:tr>
      <w:tr w:rsidR="00D43DC8" w14:paraId="4C30887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701" w:type="dxa"/>
          </w:tcPr>
          <w:p w14:paraId="1DB131ED" w14:textId="77777777" w:rsidR="00D43DC8" w:rsidRDefault="00D43DC8">
            <w:pPr>
              <w:spacing w:before="120" w:after="120"/>
              <w:jc w:val="center"/>
              <w:rPr>
                <w:rFonts w:ascii="Arial" w:hAnsi="Arial" w:cs="Arial"/>
                <w:sz w:val="18"/>
              </w:rPr>
            </w:pPr>
            <w:r>
              <w:rPr>
                <w:rFonts w:ascii="Arial" w:hAnsi="Arial" w:cs="Arial"/>
                <w:snapToGrid w:val="0"/>
                <w:color w:val="000000"/>
                <w:sz w:val="18"/>
              </w:rPr>
              <w:t>2 Mbit/s</w:t>
            </w:r>
          </w:p>
        </w:tc>
        <w:tc>
          <w:tcPr>
            <w:tcW w:w="1701" w:type="dxa"/>
          </w:tcPr>
          <w:p w14:paraId="31D50FAA"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$44,090</w:t>
            </w:r>
            <w:r>
              <w:rPr>
                <w:rFonts w:ascii="Arial" w:hAnsi="Arial"/>
                <w:b/>
                <w:bCs/>
                <w:snapToGrid w:val="0"/>
                <w:color w:val="000000"/>
                <w:sz w:val="18"/>
              </w:rPr>
              <w:t>.00</w:t>
            </w:r>
          </w:p>
        </w:tc>
        <w:tc>
          <w:tcPr>
            <w:tcW w:w="1701" w:type="dxa"/>
          </w:tcPr>
          <w:p w14:paraId="55C6B9EF"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$49,162</w:t>
            </w:r>
            <w:r>
              <w:rPr>
                <w:rFonts w:ascii="Arial" w:hAnsi="Arial"/>
                <w:b/>
                <w:bCs/>
                <w:snapToGrid w:val="0"/>
                <w:color w:val="000000"/>
                <w:sz w:val="18"/>
              </w:rPr>
              <w:t>.00</w:t>
            </w:r>
          </w:p>
        </w:tc>
        <w:tc>
          <w:tcPr>
            <w:tcW w:w="1701" w:type="dxa"/>
          </w:tcPr>
          <w:p w14:paraId="43D7E31C"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$58,649</w:t>
            </w:r>
            <w:r>
              <w:rPr>
                <w:rFonts w:ascii="Arial" w:hAnsi="Arial"/>
                <w:b/>
                <w:bCs/>
                <w:snapToGrid w:val="0"/>
                <w:color w:val="000000"/>
                <w:sz w:val="18"/>
              </w:rPr>
              <w:t>.00</w:t>
            </w:r>
          </w:p>
        </w:tc>
      </w:tr>
      <w:tr w:rsidR="00D43DC8" w14:paraId="573B5AB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701" w:type="dxa"/>
          </w:tcPr>
          <w:p w14:paraId="7CF0B251" w14:textId="77777777" w:rsidR="00D43DC8" w:rsidRDefault="00D43DC8">
            <w:pPr>
              <w:spacing w:before="120" w:after="120"/>
              <w:jc w:val="center"/>
              <w:rPr>
                <w:rFonts w:ascii="Arial" w:hAnsi="Arial" w:cs="Arial"/>
                <w:sz w:val="18"/>
              </w:rPr>
            </w:pPr>
            <w:r>
              <w:rPr>
                <w:rFonts w:ascii="Arial" w:hAnsi="Arial" w:cs="Arial"/>
                <w:snapToGrid w:val="0"/>
                <w:color w:val="000000"/>
                <w:sz w:val="18"/>
              </w:rPr>
              <w:t>3 Mbit/s</w:t>
            </w:r>
          </w:p>
        </w:tc>
        <w:tc>
          <w:tcPr>
            <w:tcW w:w="1701" w:type="dxa"/>
          </w:tcPr>
          <w:p w14:paraId="38F5D340"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$46,749</w:t>
            </w:r>
            <w:r>
              <w:rPr>
                <w:rFonts w:ascii="Arial" w:hAnsi="Arial"/>
                <w:b/>
                <w:bCs/>
                <w:snapToGrid w:val="0"/>
                <w:color w:val="000000"/>
                <w:sz w:val="18"/>
              </w:rPr>
              <w:t>.00</w:t>
            </w:r>
          </w:p>
        </w:tc>
        <w:tc>
          <w:tcPr>
            <w:tcW w:w="1701" w:type="dxa"/>
          </w:tcPr>
          <w:p w14:paraId="49B6019C"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$52,127</w:t>
            </w:r>
            <w:r>
              <w:rPr>
                <w:rFonts w:ascii="Arial" w:hAnsi="Arial"/>
                <w:b/>
                <w:bCs/>
                <w:snapToGrid w:val="0"/>
                <w:color w:val="000000"/>
                <w:sz w:val="18"/>
              </w:rPr>
              <w:t>.00</w:t>
            </w:r>
          </w:p>
        </w:tc>
        <w:tc>
          <w:tcPr>
            <w:tcW w:w="1701" w:type="dxa"/>
          </w:tcPr>
          <w:p w14:paraId="6668A2D3"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$62,187</w:t>
            </w:r>
            <w:r>
              <w:rPr>
                <w:rFonts w:ascii="Arial" w:hAnsi="Arial"/>
                <w:b/>
                <w:bCs/>
                <w:snapToGrid w:val="0"/>
                <w:color w:val="000000"/>
                <w:sz w:val="18"/>
              </w:rPr>
              <w:t>.00</w:t>
            </w:r>
          </w:p>
        </w:tc>
      </w:tr>
      <w:tr w:rsidR="00D43DC8" w14:paraId="5B709B5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701" w:type="dxa"/>
          </w:tcPr>
          <w:p w14:paraId="1B14AF39" w14:textId="77777777" w:rsidR="00D43DC8" w:rsidRDefault="00D43DC8">
            <w:pPr>
              <w:spacing w:before="120" w:after="120"/>
              <w:jc w:val="center"/>
              <w:rPr>
                <w:rFonts w:ascii="Arial" w:hAnsi="Arial" w:cs="Arial"/>
                <w:sz w:val="18"/>
              </w:rPr>
            </w:pPr>
            <w:r>
              <w:rPr>
                <w:rFonts w:ascii="Arial" w:hAnsi="Arial" w:cs="Arial"/>
                <w:snapToGrid w:val="0"/>
                <w:color w:val="000000"/>
                <w:sz w:val="18"/>
              </w:rPr>
              <w:t>4 Mbit/s</w:t>
            </w:r>
          </w:p>
        </w:tc>
        <w:tc>
          <w:tcPr>
            <w:tcW w:w="1701" w:type="dxa"/>
          </w:tcPr>
          <w:p w14:paraId="0392D7C8"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$49,408</w:t>
            </w:r>
            <w:r>
              <w:rPr>
                <w:rFonts w:ascii="Arial" w:hAnsi="Arial"/>
                <w:b/>
                <w:bCs/>
                <w:snapToGrid w:val="0"/>
                <w:color w:val="000000"/>
                <w:sz w:val="18"/>
              </w:rPr>
              <w:t>.00</w:t>
            </w:r>
          </w:p>
        </w:tc>
        <w:tc>
          <w:tcPr>
            <w:tcW w:w="1701" w:type="dxa"/>
          </w:tcPr>
          <w:p w14:paraId="336CBE5E"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$55,092</w:t>
            </w:r>
            <w:r>
              <w:rPr>
                <w:rFonts w:ascii="Arial" w:hAnsi="Arial"/>
                <w:b/>
                <w:bCs/>
                <w:snapToGrid w:val="0"/>
                <w:color w:val="000000"/>
                <w:sz w:val="18"/>
              </w:rPr>
              <w:t>.00</w:t>
            </w:r>
          </w:p>
        </w:tc>
        <w:tc>
          <w:tcPr>
            <w:tcW w:w="1701" w:type="dxa"/>
          </w:tcPr>
          <w:p w14:paraId="6DCFE427"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$65,724</w:t>
            </w:r>
            <w:r>
              <w:rPr>
                <w:rFonts w:ascii="Arial" w:hAnsi="Arial"/>
                <w:b/>
                <w:bCs/>
                <w:snapToGrid w:val="0"/>
                <w:color w:val="000000"/>
                <w:sz w:val="18"/>
              </w:rPr>
              <w:t>.00</w:t>
            </w:r>
          </w:p>
        </w:tc>
      </w:tr>
      <w:tr w:rsidR="00D43DC8" w14:paraId="5828D91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701" w:type="dxa"/>
          </w:tcPr>
          <w:p w14:paraId="0A05078B" w14:textId="77777777" w:rsidR="00D43DC8" w:rsidRDefault="00D43DC8">
            <w:pPr>
              <w:spacing w:before="120" w:after="120"/>
              <w:jc w:val="center"/>
              <w:rPr>
                <w:rFonts w:ascii="Arial" w:hAnsi="Arial" w:cs="Arial"/>
                <w:sz w:val="18"/>
              </w:rPr>
            </w:pPr>
            <w:r>
              <w:rPr>
                <w:rFonts w:ascii="Arial" w:hAnsi="Arial" w:cs="Arial"/>
                <w:snapToGrid w:val="0"/>
                <w:color w:val="000000"/>
                <w:sz w:val="18"/>
              </w:rPr>
              <w:t>8 Mbit/s</w:t>
            </w:r>
          </w:p>
        </w:tc>
        <w:tc>
          <w:tcPr>
            <w:tcW w:w="1701" w:type="dxa"/>
          </w:tcPr>
          <w:p w14:paraId="7DFF2148"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$54,726</w:t>
            </w:r>
            <w:r>
              <w:rPr>
                <w:rFonts w:ascii="Arial" w:hAnsi="Arial"/>
                <w:b/>
                <w:bCs/>
                <w:snapToGrid w:val="0"/>
                <w:color w:val="000000"/>
                <w:sz w:val="18"/>
              </w:rPr>
              <w:t>.00</w:t>
            </w:r>
          </w:p>
        </w:tc>
        <w:tc>
          <w:tcPr>
            <w:tcW w:w="1701" w:type="dxa"/>
          </w:tcPr>
          <w:p w14:paraId="3FACB36E"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$61,022</w:t>
            </w:r>
            <w:r>
              <w:rPr>
                <w:rFonts w:ascii="Arial" w:hAnsi="Arial"/>
                <w:b/>
                <w:bCs/>
                <w:snapToGrid w:val="0"/>
                <w:color w:val="000000"/>
                <w:sz w:val="18"/>
              </w:rPr>
              <w:t>.00</w:t>
            </w:r>
          </w:p>
        </w:tc>
        <w:tc>
          <w:tcPr>
            <w:tcW w:w="1701" w:type="dxa"/>
          </w:tcPr>
          <w:p w14:paraId="5F6C4891"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$70,371</w:t>
            </w:r>
            <w:r>
              <w:rPr>
                <w:rFonts w:ascii="Arial" w:hAnsi="Arial"/>
                <w:b/>
                <w:bCs/>
                <w:snapToGrid w:val="0"/>
                <w:color w:val="000000"/>
                <w:sz w:val="18"/>
              </w:rPr>
              <w:t>.00</w:t>
            </w:r>
          </w:p>
        </w:tc>
      </w:tr>
      <w:tr w:rsidR="00D43DC8" w14:paraId="4B6FDE6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701" w:type="dxa"/>
          </w:tcPr>
          <w:p w14:paraId="321C145A" w14:textId="77777777" w:rsidR="00D43DC8" w:rsidRDefault="00D43DC8">
            <w:pPr>
              <w:spacing w:before="120" w:after="120"/>
              <w:jc w:val="center"/>
              <w:rPr>
                <w:rFonts w:ascii="Arial" w:hAnsi="Arial" w:cs="Arial"/>
                <w:sz w:val="18"/>
              </w:rPr>
            </w:pPr>
            <w:r>
              <w:rPr>
                <w:rFonts w:ascii="Arial" w:hAnsi="Arial" w:cs="Arial"/>
                <w:snapToGrid w:val="0"/>
                <w:color w:val="000000"/>
                <w:sz w:val="18"/>
              </w:rPr>
              <w:t>10 Mbit/s</w:t>
            </w:r>
          </w:p>
        </w:tc>
        <w:tc>
          <w:tcPr>
            <w:tcW w:w="1701" w:type="dxa"/>
          </w:tcPr>
          <w:p w14:paraId="7A459CDB"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$60,102</w:t>
            </w:r>
            <w:r>
              <w:rPr>
                <w:rFonts w:ascii="Arial" w:hAnsi="Arial"/>
                <w:b/>
                <w:bCs/>
                <w:snapToGrid w:val="0"/>
                <w:color w:val="000000"/>
                <w:sz w:val="18"/>
              </w:rPr>
              <w:t>.00</w:t>
            </w:r>
          </w:p>
        </w:tc>
        <w:tc>
          <w:tcPr>
            <w:tcW w:w="1701" w:type="dxa"/>
          </w:tcPr>
          <w:p w14:paraId="5B9F676E"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$67,500</w:t>
            </w:r>
            <w:r>
              <w:rPr>
                <w:rFonts w:ascii="Arial" w:hAnsi="Arial"/>
                <w:b/>
                <w:bCs/>
                <w:snapToGrid w:val="0"/>
                <w:color w:val="000000"/>
                <w:sz w:val="18"/>
              </w:rPr>
              <w:t>.00</w:t>
            </w:r>
          </w:p>
        </w:tc>
        <w:tc>
          <w:tcPr>
            <w:tcW w:w="1701" w:type="dxa"/>
          </w:tcPr>
          <w:p w14:paraId="0D4FDA21"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$77,152</w:t>
            </w:r>
            <w:r>
              <w:rPr>
                <w:rFonts w:ascii="Arial" w:hAnsi="Arial"/>
                <w:b/>
                <w:bCs/>
                <w:snapToGrid w:val="0"/>
                <w:color w:val="000000"/>
                <w:sz w:val="18"/>
              </w:rPr>
              <w:t>.00</w:t>
            </w:r>
          </w:p>
        </w:tc>
      </w:tr>
      <w:tr w:rsidR="00D43DC8" w14:paraId="4D2A207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701" w:type="dxa"/>
          </w:tcPr>
          <w:p w14:paraId="1DB515E1" w14:textId="77777777" w:rsidR="00D43DC8" w:rsidRDefault="00D43DC8">
            <w:pPr>
              <w:spacing w:before="120" w:after="120"/>
              <w:jc w:val="center"/>
              <w:rPr>
                <w:rFonts w:ascii="Arial" w:hAnsi="Arial" w:cs="Arial"/>
                <w:sz w:val="18"/>
              </w:rPr>
            </w:pPr>
            <w:r>
              <w:rPr>
                <w:rFonts w:ascii="Arial" w:hAnsi="Arial" w:cs="Arial"/>
                <w:snapToGrid w:val="0"/>
                <w:color w:val="000000"/>
                <w:sz w:val="18"/>
              </w:rPr>
              <w:t>20 Mbit/s</w:t>
            </w:r>
          </w:p>
        </w:tc>
        <w:tc>
          <w:tcPr>
            <w:tcW w:w="1701" w:type="dxa"/>
          </w:tcPr>
          <w:p w14:paraId="47150C24"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$77,490</w:t>
            </w:r>
            <w:r>
              <w:rPr>
                <w:rFonts w:ascii="Arial" w:hAnsi="Arial"/>
                <w:b/>
                <w:bCs/>
                <w:snapToGrid w:val="0"/>
                <w:color w:val="000000"/>
                <w:sz w:val="18"/>
              </w:rPr>
              <w:t>.00</w:t>
            </w:r>
          </w:p>
        </w:tc>
        <w:tc>
          <w:tcPr>
            <w:tcW w:w="1701" w:type="dxa"/>
          </w:tcPr>
          <w:p w14:paraId="0D7F8BC9"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$87,372</w:t>
            </w:r>
            <w:r>
              <w:rPr>
                <w:rFonts w:ascii="Arial" w:hAnsi="Arial"/>
                <w:b/>
                <w:bCs/>
                <w:snapToGrid w:val="0"/>
                <w:color w:val="000000"/>
                <w:sz w:val="18"/>
              </w:rPr>
              <w:t>.00</w:t>
            </w:r>
          </w:p>
        </w:tc>
        <w:tc>
          <w:tcPr>
            <w:tcW w:w="1701" w:type="dxa"/>
          </w:tcPr>
          <w:p w14:paraId="7122552A"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$100,642</w:t>
            </w:r>
            <w:r>
              <w:rPr>
                <w:rFonts w:ascii="Arial" w:hAnsi="Arial"/>
                <w:b/>
                <w:bCs/>
                <w:snapToGrid w:val="0"/>
                <w:color w:val="000000"/>
                <w:sz w:val="18"/>
              </w:rPr>
              <w:t>.00</w:t>
            </w:r>
          </w:p>
        </w:tc>
      </w:tr>
      <w:tr w:rsidR="00D43DC8" w14:paraId="3AF8CC9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701" w:type="dxa"/>
          </w:tcPr>
          <w:p w14:paraId="642C914E" w14:textId="77777777" w:rsidR="00D43DC8" w:rsidRDefault="00D43DC8">
            <w:pPr>
              <w:spacing w:before="120" w:after="120"/>
              <w:jc w:val="center"/>
              <w:rPr>
                <w:rFonts w:ascii="Arial" w:hAnsi="Arial" w:cs="Arial"/>
                <w:sz w:val="18"/>
              </w:rPr>
            </w:pPr>
            <w:r>
              <w:rPr>
                <w:rFonts w:ascii="Arial" w:hAnsi="Arial" w:cs="Arial"/>
                <w:snapToGrid w:val="0"/>
                <w:color w:val="000000"/>
                <w:sz w:val="18"/>
              </w:rPr>
              <w:t>30 Mbit/s</w:t>
            </w:r>
          </w:p>
        </w:tc>
        <w:tc>
          <w:tcPr>
            <w:tcW w:w="1701" w:type="dxa"/>
          </w:tcPr>
          <w:p w14:paraId="1CCF44E4"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$89,910</w:t>
            </w:r>
            <w:r>
              <w:rPr>
                <w:rFonts w:ascii="Arial" w:hAnsi="Arial"/>
                <w:b/>
                <w:bCs/>
                <w:snapToGrid w:val="0"/>
                <w:color w:val="000000"/>
                <w:sz w:val="18"/>
              </w:rPr>
              <w:t>.00</w:t>
            </w:r>
          </w:p>
        </w:tc>
        <w:tc>
          <w:tcPr>
            <w:tcW w:w="1701" w:type="dxa"/>
          </w:tcPr>
          <w:p w14:paraId="5692935A"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$101,466</w:t>
            </w:r>
            <w:r>
              <w:rPr>
                <w:rFonts w:ascii="Arial" w:hAnsi="Arial"/>
                <w:b/>
                <w:bCs/>
                <w:snapToGrid w:val="0"/>
                <w:color w:val="000000"/>
                <w:sz w:val="18"/>
              </w:rPr>
              <w:t>.00</w:t>
            </w:r>
          </w:p>
        </w:tc>
        <w:tc>
          <w:tcPr>
            <w:tcW w:w="1701" w:type="dxa"/>
          </w:tcPr>
          <w:p w14:paraId="502BCA32"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$117,450</w:t>
            </w:r>
            <w:r>
              <w:rPr>
                <w:rFonts w:ascii="Arial" w:hAnsi="Arial"/>
                <w:b/>
                <w:bCs/>
                <w:snapToGrid w:val="0"/>
                <w:color w:val="000000"/>
                <w:sz w:val="18"/>
              </w:rPr>
              <w:t>.00</w:t>
            </w:r>
          </w:p>
        </w:tc>
      </w:tr>
      <w:tr w:rsidR="00D43DC8" w14:paraId="5D3E1E9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701" w:type="dxa"/>
          </w:tcPr>
          <w:p w14:paraId="75CD69F6" w14:textId="77777777" w:rsidR="00D43DC8" w:rsidRDefault="00D43DC8">
            <w:pPr>
              <w:spacing w:before="120" w:after="120"/>
              <w:jc w:val="center"/>
              <w:rPr>
                <w:rFonts w:ascii="Arial" w:hAnsi="Arial" w:cs="Arial"/>
                <w:sz w:val="18"/>
              </w:rPr>
            </w:pPr>
            <w:r>
              <w:rPr>
                <w:rFonts w:ascii="Arial" w:hAnsi="Arial" w:cs="Arial"/>
                <w:snapToGrid w:val="0"/>
                <w:color w:val="000000"/>
                <w:sz w:val="18"/>
              </w:rPr>
              <w:t>40 Mbit/s</w:t>
            </w:r>
          </w:p>
        </w:tc>
        <w:tc>
          <w:tcPr>
            <w:tcW w:w="1701" w:type="dxa"/>
          </w:tcPr>
          <w:p w14:paraId="6466E98B"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$99,900</w:t>
            </w:r>
            <w:r>
              <w:rPr>
                <w:rFonts w:ascii="Arial" w:hAnsi="Arial"/>
                <w:b/>
                <w:bCs/>
                <w:snapToGrid w:val="0"/>
                <w:color w:val="000000"/>
                <w:sz w:val="18"/>
              </w:rPr>
              <w:t>.00</w:t>
            </w:r>
          </w:p>
        </w:tc>
        <w:tc>
          <w:tcPr>
            <w:tcW w:w="1701" w:type="dxa"/>
          </w:tcPr>
          <w:p w14:paraId="5B1A57FB"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$112,914</w:t>
            </w:r>
            <w:r>
              <w:rPr>
                <w:rFonts w:ascii="Arial" w:hAnsi="Arial"/>
                <w:b/>
                <w:bCs/>
                <w:snapToGrid w:val="0"/>
                <w:color w:val="000000"/>
                <w:sz w:val="18"/>
              </w:rPr>
              <w:t>.00</w:t>
            </w:r>
          </w:p>
        </w:tc>
        <w:tc>
          <w:tcPr>
            <w:tcW w:w="1701" w:type="dxa"/>
          </w:tcPr>
          <w:p w14:paraId="1CAE13E6"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$131,126</w:t>
            </w:r>
            <w:r>
              <w:rPr>
                <w:rFonts w:ascii="Arial" w:hAnsi="Arial"/>
                <w:b/>
                <w:bCs/>
                <w:snapToGrid w:val="0"/>
                <w:color w:val="000000"/>
                <w:sz w:val="18"/>
              </w:rPr>
              <w:t>.00</w:t>
            </w:r>
          </w:p>
        </w:tc>
      </w:tr>
      <w:tr w:rsidR="00D43DC8" w14:paraId="119C6EB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701" w:type="dxa"/>
          </w:tcPr>
          <w:p w14:paraId="332978DA" w14:textId="77777777" w:rsidR="00D43DC8" w:rsidRDefault="00D43DC8">
            <w:pPr>
              <w:spacing w:before="120" w:after="120"/>
              <w:jc w:val="center"/>
              <w:rPr>
                <w:rFonts w:ascii="Arial" w:hAnsi="Arial" w:cs="Arial"/>
                <w:sz w:val="18"/>
              </w:rPr>
            </w:pPr>
            <w:r>
              <w:rPr>
                <w:rFonts w:ascii="Arial" w:hAnsi="Arial" w:cs="Arial"/>
                <w:snapToGrid w:val="0"/>
                <w:color w:val="000000"/>
                <w:sz w:val="18"/>
              </w:rPr>
              <w:t>50 Mbit/s</w:t>
            </w:r>
          </w:p>
        </w:tc>
        <w:tc>
          <w:tcPr>
            <w:tcW w:w="1701" w:type="dxa"/>
          </w:tcPr>
          <w:p w14:paraId="590E1AC9"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$108,432</w:t>
            </w:r>
            <w:r>
              <w:rPr>
                <w:rFonts w:ascii="Arial" w:hAnsi="Arial"/>
                <w:b/>
                <w:bCs/>
                <w:snapToGrid w:val="0"/>
                <w:color w:val="000000"/>
                <w:sz w:val="18"/>
              </w:rPr>
              <w:t>.00</w:t>
            </w:r>
          </w:p>
        </w:tc>
        <w:tc>
          <w:tcPr>
            <w:tcW w:w="1701" w:type="dxa"/>
          </w:tcPr>
          <w:p w14:paraId="0D2677D3"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$122,688</w:t>
            </w:r>
            <w:r>
              <w:rPr>
                <w:rFonts w:ascii="Arial" w:hAnsi="Arial"/>
                <w:b/>
                <w:bCs/>
                <w:snapToGrid w:val="0"/>
                <w:color w:val="000000"/>
                <w:sz w:val="18"/>
              </w:rPr>
              <w:t>.00</w:t>
            </w:r>
          </w:p>
        </w:tc>
        <w:tc>
          <w:tcPr>
            <w:tcW w:w="1701" w:type="dxa"/>
          </w:tcPr>
          <w:p w14:paraId="17CF9539"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$142,819</w:t>
            </w:r>
            <w:r>
              <w:rPr>
                <w:rFonts w:ascii="Arial" w:hAnsi="Arial"/>
                <w:b/>
                <w:bCs/>
                <w:snapToGrid w:val="0"/>
                <w:color w:val="000000"/>
                <w:sz w:val="18"/>
              </w:rPr>
              <w:t>.00</w:t>
            </w:r>
          </w:p>
        </w:tc>
      </w:tr>
      <w:tr w:rsidR="00D43DC8" w14:paraId="2CA8B12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701" w:type="dxa"/>
          </w:tcPr>
          <w:p w14:paraId="394F64FA" w14:textId="77777777" w:rsidR="00D43DC8" w:rsidRDefault="00D43DC8">
            <w:pPr>
              <w:spacing w:before="120" w:after="120"/>
              <w:jc w:val="center"/>
              <w:rPr>
                <w:rFonts w:ascii="Arial" w:hAnsi="Arial" w:cs="Arial"/>
                <w:sz w:val="18"/>
              </w:rPr>
            </w:pPr>
            <w:r>
              <w:rPr>
                <w:rFonts w:ascii="Arial" w:hAnsi="Arial" w:cs="Arial"/>
                <w:snapToGrid w:val="0"/>
                <w:color w:val="000000"/>
                <w:sz w:val="18"/>
              </w:rPr>
              <w:t>60 Mbit/s</w:t>
            </w:r>
          </w:p>
        </w:tc>
        <w:tc>
          <w:tcPr>
            <w:tcW w:w="1701" w:type="dxa"/>
          </w:tcPr>
          <w:p w14:paraId="35E19B25"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$115,938</w:t>
            </w:r>
            <w:r>
              <w:rPr>
                <w:rFonts w:ascii="Arial" w:hAnsi="Arial"/>
                <w:b/>
                <w:bCs/>
                <w:snapToGrid w:val="0"/>
                <w:color w:val="000000"/>
                <w:sz w:val="18"/>
              </w:rPr>
              <w:t>.00</w:t>
            </w:r>
          </w:p>
        </w:tc>
        <w:tc>
          <w:tcPr>
            <w:tcW w:w="1701" w:type="dxa"/>
          </w:tcPr>
          <w:p w14:paraId="2B09A97E"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$131,274</w:t>
            </w:r>
            <w:r>
              <w:rPr>
                <w:rFonts w:ascii="Arial" w:hAnsi="Arial"/>
                <w:b/>
                <w:bCs/>
                <w:snapToGrid w:val="0"/>
                <w:color w:val="000000"/>
                <w:sz w:val="18"/>
              </w:rPr>
              <w:t>.00</w:t>
            </w:r>
          </w:p>
        </w:tc>
        <w:tc>
          <w:tcPr>
            <w:tcW w:w="1701" w:type="dxa"/>
          </w:tcPr>
          <w:p w14:paraId="2CB81274"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$153,155</w:t>
            </w:r>
            <w:r>
              <w:rPr>
                <w:rFonts w:ascii="Arial" w:hAnsi="Arial"/>
                <w:b/>
                <w:bCs/>
                <w:snapToGrid w:val="0"/>
                <w:color w:val="000000"/>
                <w:sz w:val="18"/>
              </w:rPr>
              <w:t>.00</w:t>
            </w:r>
          </w:p>
        </w:tc>
      </w:tr>
      <w:tr w:rsidR="00D43DC8" w14:paraId="538CEA7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701" w:type="dxa"/>
          </w:tcPr>
          <w:p w14:paraId="5EA0E3CE" w14:textId="77777777" w:rsidR="00D43DC8" w:rsidRDefault="00D43DC8">
            <w:pPr>
              <w:spacing w:before="120" w:after="120"/>
              <w:jc w:val="center"/>
              <w:rPr>
                <w:rFonts w:ascii="Arial" w:hAnsi="Arial" w:cs="Arial"/>
                <w:sz w:val="18"/>
              </w:rPr>
            </w:pPr>
            <w:r>
              <w:rPr>
                <w:rFonts w:ascii="Arial" w:hAnsi="Arial" w:cs="Arial"/>
                <w:snapToGrid w:val="0"/>
                <w:color w:val="000000"/>
                <w:sz w:val="18"/>
              </w:rPr>
              <w:t>70 Mbit/s</w:t>
            </w:r>
          </w:p>
        </w:tc>
        <w:tc>
          <w:tcPr>
            <w:tcW w:w="1701" w:type="dxa"/>
          </w:tcPr>
          <w:p w14:paraId="5D505058"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$122,688</w:t>
            </w:r>
            <w:r>
              <w:rPr>
                <w:rFonts w:ascii="Arial" w:hAnsi="Arial"/>
                <w:b/>
                <w:bCs/>
                <w:snapToGrid w:val="0"/>
                <w:color w:val="000000"/>
                <w:sz w:val="18"/>
              </w:rPr>
              <w:t>.00</w:t>
            </w:r>
          </w:p>
        </w:tc>
        <w:tc>
          <w:tcPr>
            <w:tcW w:w="1701" w:type="dxa"/>
          </w:tcPr>
          <w:p w14:paraId="6D271922"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$138,996</w:t>
            </w:r>
            <w:r>
              <w:rPr>
                <w:rFonts w:ascii="Arial" w:hAnsi="Arial"/>
                <w:b/>
                <w:bCs/>
                <w:snapToGrid w:val="0"/>
                <w:color w:val="000000"/>
                <w:sz w:val="18"/>
              </w:rPr>
              <w:t>.00</w:t>
            </w:r>
          </w:p>
        </w:tc>
        <w:tc>
          <w:tcPr>
            <w:tcW w:w="1701" w:type="dxa"/>
          </w:tcPr>
          <w:p w14:paraId="0FFC0D0A"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$162,446</w:t>
            </w:r>
            <w:r>
              <w:rPr>
                <w:rFonts w:ascii="Arial" w:hAnsi="Arial"/>
                <w:b/>
                <w:bCs/>
                <w:snapToGrid w:val="0"/>
                <w:color w:val="000000"/>
                <w:sz w:val="18"/>
              </w:rPr>
              <w:t>.00</w:t>
            </w:r>
          </w:p>
        </w:tc>
      </w:tr>
      <w:tr w:rsidR="00D43DC8" w14:paraId="12755AF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701" w:type="dxa"/>
          </w:tcPr>
          <w:p w14:paraId="600B82B0" w14:textId="77777777" w:rsidR="00D43DC8" w:rsidRDefault="00D43DC8">
            <w:pPr>
              <w:spacing w:before="120" w:after="120"/>
              <w:jc w:val="center"/>
              <w:rPr>
                <w:rFonts w:ascii="Arial" w:hAnsi="Arial" w:cs="Arial"/>
                <w:sz w:val="18"/>
              </w:rPr>
            </w:pPr>
            <w:r>
              <w:rPr>
                <w:rFonts w:ascii="Arial" w:hAnsi="Arial" w:cs="Arial"/>
                <w:snapToGrid w:val="0"/>
                <w:color w:val="000000"/>
                <w:sz w:val="18"/>
              </w:rPr>
              <w:t>80 Mbit/s</w:t>
            </w:r>
          </w:p>
        </w:tc>
        <w:tc>
          <w:tcPr>
            <w:tcW w:w="1701" w:type="dxa"/>
          </w:tcPr>
          <w:p w14:paraId="34A18144"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$128,898</w:t>
            </w:r>
            <w:r>
              <w:rPr>
                <w:rFonts w:ascii="Arial" w:hAnsi="Arial"/>
                <w:b/>
                <w:bCs/>
                <w:snapToGrid w:val="0"/>
                <w:color w:val="000000"/>
                <w:sz w:val="18"/>
              </w:rPr>
              <w:t>.00</w:t>
            </w:r>
          </w:p>
        </w:tc>
        <w:tc>
          <w:tcPr>
            <w:tcW w:w="1701" w:type="dxa"/>
          </w:tcPr>
          <w:p w14:paraId="32E8D3B0"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$146,070</w:t>
            </w:r>
            <w:r>
              <w:rPr>
                <w:rFonts w:ascii="Arial" w:hAnsi="Arial"/>
                <w:b/>
                <w:bCs/>
                <w:snapToGrid w:val="0"/>
                <w:color w:val="000000"/>
                <w:sz w:val="18"/>
              </w:rPr>
              <w:t>.00</w:t>
            </w:r>
          </w:p>
        </w:tc>
        <w:tc>
          <w:tcPr>
            <w:tcW w:w="1701" w:type="dxa"/>
          </w:tcPr>
          <w:p w14:paraId="290DD371"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$171,007</w:t>
            </w:r>
            <w:r>
              <w:rPr>
                <w:rFonts w:ascii="Arial" w:hAnsi="Arial"/>
                <w:b/>
                <w:bCs/>
                <w:snapToGrid w:val="0"/>
                <w:color w:val="000000"/>
                <w:sz w:val="18"/>
              </w:rPr>
              <w:t>.00</w:t>
            </w:r>
          </w:p>
        </w:tc>
      </w:tr>
      <w:tr w:rsidR="00D43DC8" w14:paraId="3BC5103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701" w:type="dxa"/>
          </w:tcPr>
          <w:p w14:paraId="3B305395" w14:textId="77777777" w:rsidR="00D43DC8" w:rsidRDefault="00D43DC8">
            <w:pPr>
              <w:spacing w:before="120" w:after="120"/>
              <w:jc w:val="center"/>
              <w:rPr>
                <w:rFonts w:ascii="Arial" w:hAnsi="Arial" w:cs="Arial"/>
                <w:sz w:val="18"/>
              </w:rPr>
            </w:pPr>
            <w:r>
              <w:rPr>
                <w:rFonts w:ascii="Arial" w:hAnsi="Arial" w:cs="Arial"/>
                <w:snapToGrid w:val="0"/>
                <w:color w:val="000000"/>
                <w:sz w:val="18"/>
              </w:rPr>
              <w:t>90 Mbit/s</w:t>
            </w:r>
          </w:p>
        </w:tc>
        <w:tc>
          <w:tcPr>
            <w:tcW w:w="1701" w:type="dxa"/>
          </w:tcPr>
          <w:p w14:paraId="48035365"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$134,568</w:t>
            </w:r>
            <w:r>
              <w:rPr>
                <w:rFonts w:ascii="Arial" w:hAnsi="Arial"/>
                <w:b/>
                <w:bCs/>
                <w:snapToGrid w:val="0"/>
                <w:color w:val="000000"/>
                <w:sz w:val="18"/>
              </w:rPr>
              <w:t>.00</w:t>
            </w:r>
          </w:p>
        </w:tc>
        <w:tc>
          <w:tcPr>
            <w:tcW w:w="1701" w:type="dxa"/>
          </w:tcPr>
          <w:p w14:paraId="42A3227B"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$152,604</w:t>
            </w:r>
            <w:r>
              <w:rPr>
                <w:rFonts w:ascii="Arial" w:hAnsi="Arial"/>
                <w:b/>
                <w:bCs/>
                <w:snapToGrid w:val="0"/>
                <w:color w:val="000000"/>
                <w:sz w:val="18"/>
              </w:rPr>
              <w:t>.00</w:t>
            </w:r>
          </w:p>
        </w:tc>
        <w:tc>
          <w:tcPr>
            <w:tcW w:w="1701" w:type="dxa"/>
          </w:tcPr>
          <w:p w14:paraId="076EABE4"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$178,837</w:t>
            </w:r>
            <w:r>
              <w:rPr>
                <w:rFonts w:ascii="Arial" w:hAnsi="Arial"/>
                <w:b/>
                <w:bCs/>
                <w:snapToGrid w:val="0"/>
                <w:color w:val="000000"/>
                <w:sz w:val="18"/>
              </w:rPr>
              <w:t>.00</w:t>
            </w:r>
          </w:p>
        </w:tc>
      </w:tr>
      <w:tr w:rsidR="00D43DC8" w14:paraId="1A6D9AA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701" w:type="dxa"/>
          </w:tcPr>
          <w:p w14:paraId="120ACA6C" w14:textId="77777777" w:rsidR="00D43DC8" w:rsidRDefault="00D43DC8">
            <w:pPr>
              <w:spacing w:before="120" w:after="120"/>
              <w:jc w:val="center"/>
              <w:rPr>
                <w:rFonts w:ascii="Arial" w:hAnsi="Arial" w:cs="Arial"/>
                <w:sz w:val="18"/>
              </w:rPr>
            </w:pPr>
            <w:r>
              <w:rPr>
                <w:rFonts w:ascii="Arial" w:hAnsi="Arial" w:cs="Arial"/>
                <w:snapToGrid w:val="0"/>
                <w:color w:val="000000"/>
                <w:sz w:val="18"/>
              </w:rPr>
              <w:t>100 Mbit/s</w:t>
            </w:r>
          </w:p>
        </w:tc>
        <w:tc>
          <w:tcPr>
            <w:tcW w:w="1701" w:type="dxa"/>
          </w:tcPr>
          <w:p w14:paraId="43044190"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$142,968</w:t>
            </w:r>
            <w:r>
              <w:rPr>
                <w:rFonts w:ascii="Arial" w:hAnsi="Arial"/>
                <w:b/>
                <w:bCs/>
                <w:snapToGrid w:val="0"/>
                <w:color w:val="000000"/>
                <w:sz w:val="18"/>
              </w:rPr>
              <w:t>.00</w:t>
            </w:r>
          </w:p>
        </w:tc>
        <w:tc>
          <w:tcPr>
            <w:tcW w:w="1701" w:type="dxa"/>
          </w:tcPr>
          <w:p w14:paraId="15541139"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$158,652</w:t>
            </w:r>
            <w:r>
              <w:rPr>
                <w:rFonts w:ascii="Arial" w:hAnsi="Arial"/>
                <w:b/>
                <w:bCs/>
                <w:snapToGrid w:val="0"/>
                <w:color w:val="000000"/>
                <w:sz w:val="18"/>
              </w:rPr>
              <w:t>.00</w:t>
            </w:r>
          </w:p>
        </w:tc>
        <w:tc>
          <w:tcPr>
            <w:tcW w:w="1701" w:type="dxa"/>
          </w:tcPr>
          <w:p w14:paraId="55257E5D"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$184,006</w:t>
            </w:r>
            <w:r>
              <w:rPr>
                <w:rFonts w:ascii="Arial" w:hAnsi="Arial"/>
                <w:b/>
                <w:bCs/>
                <w:snapToGrid w:val="0"/>
                <w:color w:val="000000"/>
                <w:sz w:val="18"/>
              </w:rPr>
              <w:t>.00</w:t>
            </w:r>
          </w:p>
        </w:tc>
      </w:tr>
      <w:tr w:rsidR="00D43DC8" w14:paraId="1BBBD76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701" w:type="dxa"/>
          </w:tcPr>
          <w:p w14:paraId="79D24BC8" w14:textId="77777777" w:rsidR="00D43DC8" w:rsidRDefault="00D43DC8">
            <w:pPr>
              <w:spacing w:before="120" w:after="120"/>
              <w:jc w:val="center"/>
              <w:rPr>
                <w:rFonts w:ascii="Arial" w:hAnsi="Arial" w:cs="Arial"/>
                <w:sz w:val="18"/>
              </w:rPr>
            </w:pPr>
            <w:r>
              <w:rPr>
                <w:rFonts w:ascii="Arial" w:hAnsi="Arial" w:cs="Arial"/>
                <w:snapToGrid w:val="0"/>
                <w:color w:val="000000"/>
                <w:sz w:val="18"/>
              </w:rPr>
              <w:t>150 Mbit/s</w:t>
            </w:r>
          </w:p>
        </w:tc>
        <w:tc>
          <w:tcPr>
            <w:tcW w:w="1701" w:type="dxa"/>
          </w:tcPr>
          <w:p w14:paraId="13B23F6E"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$165,986</w:t>
            </w:r>
            <w:r>
              <w:rPr>
                <w:rFonts w:ascii="Arial" w:hAnsi="Arial"/>
                <w:b/>
                <w:bCs/>
                <w:snapToGrid w:val="0"/>
                <w:color w:val="000000"/>
                <w:sz w:val="18"/>
              </w:rPr>
              <w:t>.00</w:t>
            </w:r>
          </w:p>
        </w:tc>
        <w:tc>
          <w:tcPr>
            <w:tcW w:w="1701" w:type="dxa"/>
          </w:tcPr>
          <w:p w14:paraId="38381788"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$184,464</w:t>
            </w:r>
            <w:r>
              <w:rPr>
                <w:rFonts w:ascii="Arial" w:hAnsi="Arial"/>
                <w:b/>
                <w:bCs/>
                <w:snapToGrid w:val="0"/>
                <w:color w:val="000000"/>
                <w:sz w:val="18"/>
              </w:rPr>
              <w:t>.00</w:t>
            </w:r>
          </w:p>
        </w:tc>
        <w:tc>
          <w:tcPr>
            <w:tcW w:w="1701" w:type="dxa"/>
          </w:tcPr>
          <w:p w14:paraId="5AEB9B90"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$214,966</w:t>
            </w:r>
            <w:r>
              <w:rPr>
                <w:rFonts w:ascii="Arial" w:hAnsi="Arial"/>
                <w:b/>
                <w:bCs/>
                <w:snapToGrid w:val="0"/>
                <w:color w:val="000000"/>
                <w:sz w:val="18"/>
              </w:rPr>
              <w:t>.00</w:t>
            </w:r>
          </w:p>
        </w:tc>
      </w:tr>
      <w:tr w:rsidR="00D43DC8" w14:paraId="5C642F5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701" w:type="dxa"/>
          </w:tcPr>
          <w:p w14:paraId="10426594" w14:textId="77777777" w:rsidR="00D43DC8" w:rsidRDefault="00D43DC8">
            <w:pPr>
              <w:spacing w:before="120" w:after="120"/>
              <w:jc w:val="center"/>
              <w:rPr>
                <w:rFonts w:ascii="Arial" w:hAnsi="Arial" w:cs="Arial"/>
                <w:sz w:val="18"/>
              </w:rPr>
            </w:pPr>
            <w:r>
              <w:rPr>
                <w:rFonts w:ascii="Arial" w:hAnsi="Arial" w:cs="Arial"/>
                <w:snapToGrid w:val="0"/>
                <w:color w:val="000000"/>
                <w:sz w:val="18"/>
              </w:rPr>
              <w:lastRenderedPageBreak/>
              <w:t>200 Mbit/s</w:t>
            </w:r>
          </w:p>
        </w:tc>
        <w:tc>
          <w:tcPr>
            <w:tcW w:w="1701" w:type="dxa"/>
          </w:tcPr>
          <w:p w14:paraId="5E3FA13A"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$184,478</w:t>
            </w:r>
            <w:r>
              <w:rPr>
                <w:rFonts w:ascii="Arial" w:hAnsi="Arial"/>
                <w:b/>
                <w:bCs/>
                <w:snapToGrid w:val="0"/>
                <w:color w:val="000000"/>
                <w:sz w:val="18"/>
              </w:rPr>
              <w:t>.00</w:t>
            </w:r>
          </w:p>
        </w:tc>
        <w:tc>
          <w:tcPr>
            <w:tcW w:w="1701" w:type="dxa"/>
          </w:tcPr>
          <w:p w14:paraId="4A190C54"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$205,254</w:t>
            </w:r>
            <w:r>
              <w:rPr>
                <w:rFonts w:ascii="Arial" w:hAnsi="Arial"/>
                <w:b/>
                <w:bCs/>
                <w:snapToGrid w:val="0"/>
                <w:color w:val="000000"/>
                <w:sz w:val="18"/>
              </w:rPr>
              <w:t>.00</w:t>
            </w:r>
          </w:p>
        </w:tc>
        <w:tc>
          <w:tcPr>
            <w:tcW w:w="1701" w:type="dxa"/>
          </w:tcPr>
          <w:p w14:paraId="3DFADFB0"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$239,940</w:t>
            </w:r>
            <w:r>
              <w:rPr>
                <w:rFonts w:ascii="Arial" w:hAnsi="Arial"/>
                <w:b/>
                <w:bCs/>
                <w:snapToGrid w:val="0"/>
                <w:color w:val="000000"/>
                <w:sz w:val="18"/>
              </w:rPr>
              <w:t>.00</w:t>
            </w:r>
          </w:p>
        </w:tc>
      </w:tr>
      <w:tr w:rsidR="00D43DC8" w14:paraId="398BA07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701" w:type="dxa"/>
          </w:tcPr>
          <w:p w14:paraId="0A79E71E" w14:textId="77777777" w:rsidR="00D43DC8" w:rsidRDefault="00D43DC8">
            <w:pPr>
              <w:spacing w:before="120" w:after="120"/>
              <w:jc w:val="center"/>
              <w:rPr>
                <w:rFonts w:ascii="Arial" w:hAnsi="Arial" w:cs="Arial"/>
                <w:sz w:val="18"/>
              </w:rPr>
            </w:pPr>
            <w:r>
              <w:rPr>
                <w:rFonts w:ascii="Arial" w:hAnsi="Arial" w:cs="Arial"/>
                <w:snapToGrid w:val="0"/>
                <w:color w:val="000000"/>
                <w:sz w:val="18"/>
              </w:rPr>
              <w:t>300 Mbit/s</w:t>
            </w:r>
          </w:p>
        </w:tc>
        <w:tc>
          <w:tcPr>
            <w:tcW w:w="1701" w:type="dxa"/>
          </w:tcPr>
          <w:p w14:paraId="01A425B2"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$214,176</w:t>
            </w:r>
            <w:r>
              <w:rPr>
                <w:rFonts w:ascii="Arial" w:hAnsi="Arial"/>
                <w:b/>
                <w:bCs/>
                <w:snapToGrid w:val="0"/>
                <w:color w:val="000000"/>
                <w:sz w:val="18"/>
              </w:rPr>
              <w:t>.00</w:t>
            </w:r>
          </w:p>
        </w:tc>
        <w:tc>
          <w:tcPr>
            <w:tcW w:w="1701" w:type="dxa"/>
          </w:tcPr>
          <w:p w14:paraId="1146CF32"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$238,626</w:t>
            </w:r>
            <w:r>
              <w:rPr>
                <w:rFonts w:ascii="Arial" w:hAnsi="Arial"/>
                <w:b/>
                <w:bCs/>
                <w:snapToGrid w:val="0"/>
                <w:color w:val="000000"/>
                <w:sz w:val="18"/>
              </w:rPr>
              <w:t>.00</w:t>
            </w:r>
          </w:p>
        </w:tc>
        <w:tc>
          <w:tcPr>
            <w:tcW w:w="1701" w:type="dxa"/>
          </w:tcPr>
          <w:p w14:paraId="6487671D"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$280,188</w:t>
            </w:r>
            <w:r>
              <w:rPr>
                <w:rFonts w:ascii="Arial" w:hAnsi="Arial"/>
                <w:b/>
                <w:bCs/>
                <w:snapToGrid w:val="0"/>
                <w:color w:val="000000"/>
                <w:sz w:val="18"/>
              </w:rPr>
              <w:t>.00</w:t>
            </w:r>
          </w:p>
        </w:tc>
      </w:tr>
      <w:tr w:rsidR="00D43DC8" w14:paraId="42536B2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701" w:type="dxa"/>
          </w:tcPr>
          <w:p w14:paraId="3C988838" w14:textId="77777777" w:rsidR="00D43DC8" w:rsidRDefault="00D43DC8">
            <w:pPr>
              <w:spacing w:before="120" w:after="120"/>
              <w:jc w:val="center"/>
              <w:rPr>
                <w:rFonts w:ascii="Arial" w:hAnsi="Arial" w:cs="Arial"/>
                <w:sz w:val="18"/>
              </w:rPr>
            </w:pPr>
            <w:r>
              <w:rPr>
                <w:rFonts w:ascii="Arial" w:hAnsi="Arial" w:cs="Arial"/>
                <w:snapToGrid w:val="0"/>
                <w:color w:val="000000"/>
                <w:sz w:val="18"/>
              </w:rPr>
              <w:t>400 Mbit/s</w:t>
            </w:r>
          </w:p>
        </w:tc>
        <w:tc>
          <w:tcPr>
            <w:tcW w:w="1701" w:type="dxa"/>
          </w:tcPr>
          <w:p w14:paraId="42AE97A6"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$238,078</w:t>
            </w:r>
            <w:r>
              <w:rPr>
                <w:rFonts w:ascii="Arial" w:hAnsi="Arial"/>
                <w:b/>
                <w:bCs/>
                <w:snapToGrid w:val="0"/>
                <w:color w:val="000000"/>
                <w:sz w:val="18"/>
              </w:rPr>
              <w:t>.00</w:t>
            </w:r>
          </w:p>
        </w:tc>
        <w:tc>
          <w:tcPr>
            <w:tcW w:w="1701" w:type="dxa"/>
          </w:tcPr>
          <w:p w14:paraId="3EFC83D6"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$265,518</w:t>
            </w:r>
            <w:r>
              <w:rPr>
                <w:rFonts w:ascii="Arial" w:hAnsi="Arial"/>
                <w:b/>
                <w:bCs/>
                <w:snapToGrid w:val="0"/>
                <w:color w:val="000000"/>
                <w:sz w:val="18"/>
              </w:rPr>
              <w:t>.00</w:t>
            </w:r>
          </w:p>
        </w:tc>
        <w:tc>
          <w:tcPr>
            <w:tcW w:w="1701" w:type="dxa"/>
          </w:tcPr>
          <w:p w14:paraId="785A7BFC"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$312,799</w:t>
            </w:r>
            <w:r>
              <w:rPr>
                <w:rFonts w:ascii="Arial" w:hAnsi="Arial"/>
                <w:b/>
                <w:bCs/>
                <w:snapToGrid w:val="0"/>
                <w:color w:val="000000"/>
                <w:sz w:val="18"/>
              </w:rPr>
              <w:t>.00</w:t>
            </w:r>
          </w:p>
        </w:tc>
      </w:tr>
      <w:tr w:rsidR="00D43DC8" w14:paraId="484B79F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701" w:type="dxa"/>
          </w:tcPr>
          <w:p w14:paraId="1543AEA3" w14:textId="77777777" w:rsidR="00D43DC8" w:rsidRDefault="00D43DC8">
            <w:pPr>
              <w:spacing w:before="120" w:after="120"/>
              <w:jc w:val="center"/>
              <w:rPr>
                <w:rFonts w:ascii="Arial" w:hAnsi="Arial" w:cs="Arial"/>
                <w:sz w:val="18"/>
              </w:rPr>
            </w:pPr>
            <w:r>
              <w:rPr>
                <w:rFonts w:ascii="Arial" w:hAnsi="Arial" w:cs="Arial"/>
                <w:snapToGrid w:val="0"/>
                <w:color w:val="000000"/>
                <w:sz w:val="18"/>
              </w:rPr>
              <w:t>500 Mbit/s</w:t>
            </w:r>
          </w:p>
        </w:tc>
        <w:tc>
          <w:tcPr>
            <w:tcW w:w="1701" w:type="dxa"/>
          </w:tcPr>
          <w:p w14:paraId="608F5E68"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$258,502</w:t>
            </w:r>
            <w:r>
              <w:rPr>
                <w:rFonts w:ascii="Arial" w:hAnsi="Arial"/>
                <w:b/>
                <w:bCs/>
                <w:snapToGrid w:val="0"/>
                <w:color w:val="000000"/>
                <w:sz w:val="18"/>
              </w:rPr>
              <w:t>.00</w:t>
            </w:r>
          </w:p>
        </w:tc>
        <w:tc>
          <w:tcPr>
            <w:tcW w:w="1701" w:type="dxa"/>
          </w:tcPr>
          <w:p w14:paraId="7725A8A6"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$288,468</w:t>
            </w:r>
            <w:r>
              <w:rPr>
                <w:rFonts w:ascii="Arial" w:hAnsi="Arial"/>
                <w:b/>
                <w:bCs/>
                <w:snapToGrid w:val="0"/>
                <w:color w:val="000000"/>
                <w:sz w:val="18"/>
              </w:rPr>
              <w:t>.00</w:t>
            </w:r>
          </w:p>
        </w:tc>
        <w:tc>
          <w:tcPr>
            <w:tcW w:w="1701" w:type="dxa"/>
          </w:tcPr>
          <w:p w14:paraId="7AC3E595"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$340,663</w:t>
            </w:r>
            <w:r>
              <w:rPr>
                <w:rFonts w:ascii="Arial" w:hAnsi="Arial"/>
                <w:b/>
                <w:bCs/>
                <w:snapToGrid w:val="0"/>
                <w:color w:val="000000"/>
                <w:sz w:val="18"/>
              </w:rPr>
              <w:t>.00</w:t>
            </w:r>
          </w:p>
        </w:tc>
      </w:tr>
      <w:tr w:rsidR="00D43DC8" w14:paraId="7FDFEE48"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701" w:type="dxa"/>
          </w:tcPr>
          <w:p w14:paraId="1291F349" w14:textId="77777777" w:rsidR="00D43DC8" w:rsidRDefault="00D43DC8">
            <w:pPr>
              <w:spacing w:before="120" w:after="120"/>
              <w:jc w:val="center"/>
              <w:rPr>
                <w:rFonts w:ascii="Arial" w:hAnsi="Arial" w:cs="Arial"/>
                <w:sz w:val="18"/>
              </w:rPr>
            </w:pPr>
            <w:r>
              <w:rPr>
                <w:rFonts w:ascii="Arial" w:hAnsi="Arial" w:cs="Arial"/>
                <w:snapToGrid w:val="0"/>
                <w:color w:val="000000"/>
                <w:sz w:val="18"/>
              </w:rPr>
              <w:t>600 Mbit/s</w:t>
            </w:r>
          </w:p>
        </w:tc>
        <w:tc>
          <w:tcPr>
            <w:tcW w:w="1701" w:type="dxa"/>
          </w:tcPr>
          <w:p w14:paraId="042EFE1B"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$276,442</w:t>
            </w:r>
            <w:r>
              <w:rPr>
                <w:rFonts w:ascii="Arial" w:hAnsi="Arial"/>
                <w:b/>
                <w:bCs/>
                <w:snapToGrid w:val="0"/>
                <w:color w:val="000000"/>
                <w:sz w:val="18"/>
              </w:rPr>
              <w:t>.00</w:t>
            </w:r>
          </w:p>
        </w:tc>
        <w:tc>
          <w:tcPr>
            <w:tcW w:w="1701" w:type="dxa"/>
          </w:tcPr>
          <w:p w14:paraId="19D70955"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$308,664</w:t>
            </w:r>
            <w:r>
              <w:rPr>
                <w:rFonts w:ascii="Arial" w:hAnsi="Arial"/>
                <w:b/>
                <w:bCs/>
                <w:snapToGrid w:val="0"/>
                <w:color w:val="000000"/>
                <w:sz w:val="18"/>
              </w:rPr>
              <w:t>.00</w:t>
            </w:r>
          </w:p>
        </w:tc>
        <w:tc>
          <w:tcPr>
            <w:tcW w:w="1701" w:type="dxa"/>
          </w:tcPr>
          <w:p w14:paraId="698DCC35"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$365,225</w:t>
            </w:r>
            <w:r>
              <w:rPr>
                <w:rFonts w:ascii="Arial" w:hAnsi="Arial"/>
                <w:b/>
                <w:bCs/>
                <w:snapToGrid w:val="0"/>
                <w:color w:val="000000"/>
                <w:sz w:val="18"/>
              </w:rPr>
              <w:t>.00</w:t>
            </w:r>
          </w:p>
        </w:tc>
      </w:tr>
      <w:tr w:rsidR="00D43DC8" w14:paraId="049C3DA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701" w:type="dxa"/>
          </w:tcPr>
          <w:p w14:paraId="4CC548FA" w14:textId="77777777" w:rsidR="00D43DC8" w:rsidRDefault="00D43DC8">
            <w:pPr>
              <w:spacing w:before="120" w:after="120"/>
              <w:jc w:val="center"/>
              <w:rPr>
                <w:rFonts w:ascii="Arial" w:hAnsi="Arial" w:cs="Arial"/>
                <w:sz w:val="18"/>
              </w:rPr>
            </w:pPr>
            <w:r>
              <w:rPr>
                <w:rFonts w:ascii="Arial" w:hAnsi="Arial" w:cs="Arial"/>
                <w:snapToGrid w:val="0"/>
                <w:color w:val="000000"/>
                <w:sz w:val="18"/>
              </w:rPr>
              <w:t>700 Mbit/s</w:t>
            </w:r>
          </w:p>
        </w:tc>
        <w:tc>
          <w:tcPr>
            <w:tcW w:w="1701" w:type="dxa"/>
          </w:tcPr>
          <w:p w14:paraId="478D6C5F"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$292,560</w:t>
            </w:r>
            <w:r>
              <w:rPr>
                <w:rFonts w:ascii="Arial" w:hAnsi="Arial"/>
                <w:b/>
                <w:bCs/>
                <w:snapToGrid w:val="0"/>
                <w:color w:val="000000"/>
                <w:sz w:val="18"/>
              </w:rPr>
              <w:t>.00</w:t>
            </w:r>
          </w:p>
        </w:tc>
        <w:tc>
          <w:tcPr>
            <w:tcW w:w="1701" w:type="dxa"/>
          </w:tcPr>
          <w:p w14:paraId="17835247"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$326,862</w:t>
            </w:r>
            <w:r>
              <w:rPr>
                <w:rFonts w:ascii="Arial" w:hAnsi="Arial"/>
                <w:b/>
                <w:bCs/>
                <w:snapToGrid w:val="0"/>
                <w:color w:val="000000"/>
                <w:sz w:val="18"/>
              </w:rPr>
              <w:t>.00</w:t>
            </w:r>
          </w:p>
        </w:tc>
        <w:tc>
          <w:tcPr>
            <w:tcW w:w="1701" w:type="dxa"/>
          </w:tcPr>
          <w:p w14:paraId="23F83880"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$387,413</w:t>
            </w:r>
            <w:r>
              <w:rPr>
                <w:rFonts w:ascii="Arial" w:hAnsi="Arial"/>
                <w:b/>
                <w:bCs/>
                <w:snapToGrid w:val="0"/>
                <w:color w:val="000000"/>
                <w:sz w:val="18"/>
              </w:rPr>
              <w:t>.00</w:t>
            </w:r>
          </w:p>
        </w:tc>
      </w:tr>
      <w:tr w:rsidR="00D43DC8" w14:paraId="769CDBA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701" w:type="dxa"/>
          </w:tcPr>
          <w:p w14:paraId="78F5D727" w14:textId="77777777" w:rsidR="00D43DC8" w:rsidRDefault="00D43DC8">
            <w:pPr>
              <w:spacing w:before="120" w:after="120"/>
              <w:jc w:val="center"/>
              <w:rPr>
                <w:rFonts w:ascii="Arial" w:hAnsi="Arial" w:cs="Arial"/>
                <w:sz w:val="18"/>
              </w:rPr>
            </w:pPr>
            <w:r>
              <w:rPr>
                <w:rFonts w:ascii="Arial" w:hAnsi="Arial" w:cs="Arial"/>
                <w:snapToGrid w:val="0"/>
                <w:color w:val="000000"/>
                <w:sz w:val="18"/>
              </w:rPr>
              <w:t>800 Mbit/s</w:t>
            </w:r>
          </w:p>
        </w:tc>
        <w:tc>
          <w:tcPr>
            <w:tcW w:w="1701" w:type="dxa"/>
          </w:tcPr>
          <w:p w14:paraId="0A4BE8CF"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$307,354</w:t>
            </w:r>
            <w:r>
              <w:rPr>
                <w:rFonts w:ascii="Arial" w:hAnsi="Arial"/>
                <w:b/>
                <w:bCs/>
                <w:snapToGrid w:val="0"/>
                <w:color w:val="000000"/>
                <w:sz w:val="18"/>
              </w:rPr>
              <w:t>.00</w:t>
            </w:r>
          </w:p>
        </w:tc>
        <w:tc>
          <w:tcPr>
            <w:tcW w:w="1701" w:type="dxa"/>
          </w:tcPr>
          <w:p w14:paraId="1D2F0792"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$343,494</w:t>
            </w:r>
            <w:r>
              <w:rPr>
                <w:rFonts w:ascii="Arial" w:hAnsi="Arial"/>
                <w:b/>
                <w:bCs/>
                <w:snapToGrid w:val="0"/>
                <w:color w:val="000000"/>
                <w:sz w:val="18"/>
              </w:rPr>
              <w:t>.00</w:t>
            </w:r>
          </w:p>
        </w:tc>
        <w:tc>
          <w:tcPr>
            <w:tcW w:w="1701" w:type="dxa"/>
          </w:tcPr>
          <w:p w14:paraId="3042329F"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$407,743</w:t>
            </w:r>
            <w:r>
              <w:rPr>
                <w:rFonts w:ascii="Arial" w:hAnsi="Arial"/>
                <w:b/>
                <w:bCs/>
                <w:snapToGrid w:val="0"/>
                <w:color w:val="000000"/>
                <w:sz w:val="18"/>
              </w:rPr>
              <w:t>.00</w:t>
            </w:r>
          </w:p>
        </w:tc>
      </w:tr>
      <w:tr w:rsidR="00D43DC8" w14:paraId="33692D6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701" w:type="dxa"/>
          </w:tcPr>
          <w:p w14:paraId="7AA339A1" w14:textId="77777777" w:rsidR="00D43DC8" w:rsidRDefault="00D43DC8">
            <w:pPr>
              <w:spacing w:before="120" w:after="120"/>
              <w:jc w:val="center"/>
              <w:rPr>
                <w:rFonts w:ascii="Arial" w:hAnsi="Arial" w:cs="Arial"/>
                <w:sz w:val="18"/>
              </w:rPr>
            </w:pPr>
            <w:r>
              <w:rPr>
                <w:rFonts w:ascii="Arial" w:hAnsi="Arial" w:cs="Arial"/>
                <w:snapToGrid w:val="0"/>
                <w:color w:val="000000"/>
                <w:sz w:val="18"/>
              </w:rPr>
              <w:t>900 Mbit/s</w:t>
            </w:r>
          </w:p>
        </w:tc>
        <w:tc>
          <w:tcPr>
            <w:tcW w:w="1701" w:type="dxa"/>
          </w:tcPr>
          <w:p w14:paraId="62E6DCE2"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$320,988</w:t>
            </w:r>
            <w:r>
              <w:rPr>
                <w:rFonts w:ascii="Arial" w:hAnsi="Arial"/>
                <w:b/>
                <w:bCs/>
                <w:snapToGrid w:val="0"/>
                <w:color w:val="000000"/>
                <w:sz w:val="18"/>
              </w:rPr>
              <w:t>.00</w:t>
            </w:r>
          </w:p>
        </w:tc>
        <w:tc>
          <w:tcPr>
            <w:tcW w:w="1701" w:type="dxa"/>
          </w:tcPr>
          <w:p w14:paraId="4DB4ACA2"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$358,884</w:t>
            </w:r>
            <w:r>
              <w:rPr>
                <w:rFonts w:ascii="Arial" w:hAnsi="Arial"/>
                <w:b/>
                <w:bCs/>
                <w:snapToGrid w:val="0"/>
                <w:color w:val="000000"/>
                <w:sz w:val="18"/>
              </w:rPr>
              <w:t>.00</w:t>
            </w:r>
          </w:p>
        </w:tc>
        <w:tc>
          <w:tcPr>
            <w:tcW w:w="1701" w:type="dxa"/>
          </w:tcPr>
          <w:p w14:paraId="274F9739"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$426,526</w:t>
            </w:r>
            <w:r>
              <w:rPr>
                <w:rFonts w:ascii="Arial" w:hAnsi="Arial"/>
                <w:b/>
                <w:bCs/>
                <w:snapToGrid w:val="0"/>
                <w:color w:val="000000"/>
                <w:sz w:val="18"/>
              </w:rPr>
              <w:t>.00</w:t>
            </w:r>
          </w:p>
        </w:tc>
      </w:tr>
      <w:tr w:rsidR="00D43DC8" w14:paraId="0CF35A4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1701" w:type="dxa"/>
          </w:tcPr>
          <w:p w14:paraId="65000ED3" w14:textId="77777777" w:rsidR="00D43DC8" w:rsidRDefault="00D43DC8">
            <w:pPr>
              <w:spacing w:before="120" w:after="120"/>
              <w:jc w:val="center"/>
              <w:rPr>
                <w:rFonts w:ascii="Arial" w:hAnsi="Arial" w:cs="Arial"/>
                <w:sz w:val="18"/>
              </w:rPr>
            </w:pPr>
            <w:r>
              <w:rPr>
                <w:rFonts w:ascii="Arial" w:hAnsi="Arial" w:cs="Arial"/>
                <w:snapToGrid w:val="0"/>
                <w:color w:val="000000"/>
                <w:sz w:val="18"/>
              </w:rPr>
              <w:t>1000 Mbit/s</w:t>
            </w:r>
          </w:p>
        </w:tc>
        <w:tc>
          <w:tcPr>
            <w:tcW w:w="1701" w:type="dxa"/>
          </w:tcPr>
          <w:p w14:paraId="4E45B441"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$333,684</w:t>
            </w:r>
            <w:r>
              <w:rPr>
                <w:rFonts w:ascii="Arial" w:hAnsi="Arial"/>
                <w:b/>
                <w:bCs/>
                <w:snapToGrid w:val="0"/>
                <w:color w:val="000000"/>
                <w:sz w:val="18"/>
              </w:rPr>
              <w:t>.00</w:t>
            </w:r>
          </w:p>
        </w:tc>
        <w:tc>
          <w:tcPr>
            <w:tcW w:w="1701" w:type="dxa"/>
          </w:tcPr>
          <w:p w14:paraId="63210843"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$373,194</w:t>
            </w:r>
            <w:r>
              <w:rPr>
                <w:rFonts w:ascii="Arial" w:hAnsi="Arial"/>
                <w:b/>
                <w:bCs/>
                <w:snapToGrid w:val="0"/>
                <w:color w:val="000000"/>
                <w:sz w:val="18"/>
              </w:rPr>
              <w:t>.00</w:t>
            </w:r>
          </w:p>
        </w:tc>
        <w:tc>
          <w:tcPr>
            <w:tcW w:w="1701" w:type="dxa"/>
          </w:tcPr>
          <w:p w14:paraId="0546ECB4" w14:textId="77777777" w:rsidR="00D43DC8" w:rsidRDefault="00D43DC8">
            <w:pPr>
              <w:spacing w:before="120" w:after="120"/>
              <w:jc w:val="right"/>
              <w:rPr>
                <w:rFonts w:ascii="Arial" w:hAnsi="Arial" w:cs="Arial"/>
                <w:b/>
                <w:bCs/>
                <w:snapToGrid w:val="0"/>
                <w:color w:val="000000"/>
                <w:sz w:val="18"/>
              </w:rPr>
            </w:pPr>
            <w:r>
              <w:rPr>
                <w:rFonts w:ascii="Arial" w:hAnsi="Arial" w:cs="Arial"/>
                <w:b/>
                <w:bCs/>
                <w:snapToGrid w:val="0"/>
                <w:color w:val="000000"/>
                <w:sz w:val="18"/>
              </w:rPr>
              <w:t>$444,070</w:t>
            </w:r>
            <w:r>
              <w:rPr>
                <w:rFonts w:ascii="Arial" w:hAnsi="Arial"/>
                <w:b/>
                <w:bCs/>
                <w:snapToGrid w:val="0"/>
                <w:color w:val="000000"/>
                <w:sz w:val="18"/>
              </w:rPr>
              <w:t>.00</w:t>
            </w:r>
          </w:p>
        </w:tc>
      </w:tr>
    </w:tbl>
    <w:p w14:paraId="6EDA5789" w14:textId="77777777" w:rsidR="00D43DC8" w:rsidRDefault="00D43DC8">
      <w:pPr>
        <w:pStyle w:val="TableData"/>
      </w:pPr>
    </w:p>
    <w:p w14:paraId="495D2080" w14:textId="77777777" w:rsidR="00D43DC8" w:rsidRDefault="00D43DC8">
      <w:pPr>
        <w:pStyle w:val="Indent1"/>
      </w:pPr>
      <w:bookmarkStart w:id="58" w:name="_Toc477170895"/>
      <w:r>
        <w:t>Link bandwidth charges – per second charging</w:t>
      </w:r>
      <w:bookmarkEnd w:id="58"/>
    </w:p>
    <w:p w14:paraId="14B4A08D" w14:textId="77777777" w:rsidR="00D43DC8" w:rsidRDefault="00D43DC8">
      <w:pPr>
        <w:pStyle w:val="Heading2"/>
      </w:pPr>
      <w:r>
        <w:t>With the Bandwidth on Demand option, we calculate the link bandwidth charges for Ethernet MAN dual uplink and Ethernet MAN fully redundant connection by determining the number of seconds we actually provide the bandwidth to you (to the nearest second) and multiplying it by the annual link bandwidth charge (calculated as a per-second rate).  Charges are calculated to the nearest cent and billed monthly.</w:t>
      </w:r>
      <w:r>
        <w:rPr>
          <w:lang w:val="en-US"/>
        </w:rPr>
        <w:t xml:space="preserve">  The minimum charge is the applicable 2 Mbit/s rate.</w:t>
      </w:r>
    </w:p>
    <w:p w14:paraId="707FF0B9" w14:textId="77777777" w:rsidR="00D43DC8" w:rsidRDefault="00D43DC8">
      <w:pPr>
        <w:pStyle w:val="Heading7"/>
        <w:ind w:left="737"/>
        <w:rPr>
          <w:bCs/>
        </w:rPr>
      </w:pPr>
      <w:r>
        <w:t xml:space="preserve">Example: For a link from a central business district zone to a business zone at 10 Mbit/s, with the link bandwidth provided to you for 9000 seconds in a particular month – the link bandwidth charge is $11.07 GST excl. (ie </w:t>
      </w:r>
      <w:r>
        <w:rPr>
          <w:snapToGrid w:val="0"/>
          <w:color w:val="000000"/>
        </w:rPr>
        <w:t>$38,808</w:t>
      </w:r>
      <w:r>
        <w:t xml:space="preserve"> </w:t>
      </w:r>
      <w:r>
        <w:sym w:font="Symbol" w:char="F0B8"/>
      </w:r>
      <w:r>
        <w:t xml:space="preserve"> (365 x 24 x 60 x 60) x 9000).</w:t>
      </w:r>
    </w:p>
    <w:p w14:paraId="7742EF8D" w14:textId="77777777" w:rsidR="00D43DC8" w:rsidRDefault="00D43DC8">
      <w:pPr>
        <w:pStyle w:val="Heading2"/>
      </w:pPr>
      <w:r>
        <w:t>We will not take into account any ineffective change requests when calculating the charges payable.</w:t>
      </w:r>
    </w:p>
    <w:p w14:paraId="5DECE849" w14:textId="77777777" w:rsidR="00D43DC8" w:rsidRDefault="00D43DC8">
      <w:pPr>
        <w:pStyle w:val="Indent1"/>
      </w:pPr>
      <w:bookmarkStart w:id="59" w:name="_Toc477170896"/>
      <w:r>
        <w:t>Monthly port charges</w:t>
      </w:r>
      <w:bookmarkEnd w:id="59"/>
    </w:p>
    <w:p w14:paraId="6498204B" w14:textId="77777777" w:rsidR="00D43DC8" w:rsidRDefault="00D43DC8">
      <w:pPr>
        <w:pStyle w:val="Heading2"/>
      </w:pPr>
      <w:r>
        <w:t xml:space="preserve">We charge you the following </w:t>
      </w:r>
      <w:r>
        <w:rPr>
          <w:lang w:val="en-US"/>
        </w:rPr>
        <w:t xml:space="preserve">monthly charge for each port using an Ethernet MAN dual uplink or an Ethernet MAN fully redundant connection: </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418"/>
      </w:tblGrid>
      <w:tr w:rsidR="00D43DC8" w14:paraId="72C3BD1C" w14:textId="77777777">
        <w:tblPrEx>
          <w:tblCellMar>
            <w:top w:w="0" w:type="dxa"/>
            <w:bottom w:w="0" w:type="dxa"/>
          </w:tblCellMar>
        </w:tblPrEx>
        <w:trPr>
          <w:trHeight w:val="540"/>
          <w:tblHeader/>
        </w:trPr>
        <w:tc>
          <w:tcPr>
            <w:tcW w:w="4536" w:type="dxa"/>
          </w:tcPr>
          <w:p w14:paraId="3B1BCD0A" w14:textId="77777777" w:rsidR="00D43DC8" w:rsidRDefault="00D43DC8">
            <w:pPr>
              <w:pStyle w:val="TableHead"/>
              <w:keepNext/>
              <w:spacing w:before="120" w:after="120"/>
              <w:rPr>
                <w:rFonts w:cs="Arial"/>
              </w:rPr>
            </w:pPr>
            <w:r>
              <w:rPr>
                <w:rFonts w:cs="Arial"/>
              </w:rPr>
              <w:lastRenderedPageBreak/>
              <w:t>Monthly port charges – dual uplink and fully redundant connection</w:t>
            </w:r>
          </w:p>
        </w:tc>
        <w:tc>
          <w:tcPr>
            <w:tcW w:w="1418" w:type="dxa"/>
          </w:tcPr>
          <w:p w14:paraId="3495D2C6" w14:textId="77777777" w:rsidR="00D43DC8" w:rsidRDefault="00D43DC8">
            <w:pPr>
              <w:pStyle w:val="TableData"/>
              <w:keepNext/>
              <w:rPr>
                <w:rFonts w:cs="Arial"/>
                <w:b/>
                <w:snapToGrid w:val="0"/>
              </w:rPr>
            </w:pPr>
            <w:r>
              <w:rPr>
                <w:rFonts w:cs="Arial"/>
                <w:b/>
                <w:snapToGrid w:val="0"/>
              </w:rPr>
              <w:t>GST excl.</w:t>
            </w:r>
          </w:p>
        </w:tc>
      </w:tr>
      <w:tr w:rsidR="00D43DC8" w14:paraId="547A0FD4" w14:textId="77777777">
        <w:tblPrEx>
          <w:tblCellMar>
            <w:top w:w="0" w:type="dxa"/>
            <w:bottom w:w="0" w:type="dxa"/>
          </w:tblCellMar>
        </w:tblPrEx>
        <w:trPr>
          <w:trHeight w:val="540"/>
        </w:trPr>
        <w:tc>
          <w:tcPr>
            <w:tcW w:w="4536" w:type="dxa"/>
          </w:tcPr>
          <w:p w14:paraId="5A3ACA70" w14:textId="77777777" w:rsidR="00D43DC8" w:rsidRDefault="00D43DC8">
            <w:pPr>
              <w:spacing w:before="120" w:after="120"/>
              <w:rPr>
                <w:rFonts w:ascii="Arial" w:hAnsi="Arial" w:cs="Arial"/>
                <w:sz w:val="18"/>
              </w:rPr>
            </w:pPr>
            <w:r>
              <w:rPr>
                <w:rFonts w:ascii="Arial" w:hAnsi="Arial" w:cs="Arial"/>
                <w:sz w:val="18"/>
              </w:rPr>
              <w:t>For each port – central business district, business or metro zone</w:t>
            </w:r>
          </w:p>
        </w:tc>
        <w:tc>
          <w:tcPr>
            <w:tcW w:w="1418" w:type="dxa"/>
          </w:tcPr>
          <w:p w14:paraId="1C7520DA" w14:textId="77777777" w:rsidR="00D43DC8" w:rsidRDefault="00D43DC8">
            <w:pPr>
              <w:spacing w:before="120" w:after="120"/>
              <w:jc w:val="right"/>
              <w:rPr>
                <w:rFonts w:ascii="Arial" w:hAnsi="Arial" w:cs="Arial"/>
                <w:b/>
                <w:bCs/>
                <w:sz w:val="18"/>
              </w:rPr>
            </w:pPr>
            <w:r>
              <w:rPr>
                <w:rFonts w:ascii="Arial" w:hAnsi="Arial" w:cs="Arial"/>
                <w:b/>
                <w:bCs/>
                <w:sz w:val="18"/>
              </w:rPr>
              <w:t>$300.00</w:t>
            </w:r>
          </w:p>
        </w:tc>
      </w:tr>
    </w:tbl>
    <w:p w14:paraId="69BE208A" w14:textId="77777777" w:rsidR="00D43DC8" w:rsidRDefault="00D43DC8">
      <w:pPr>
        <w:pStyle w:val="TableData"/>
      </w:pPr>
    </w:p>
    <w:p w14:paraId="3DF336E2" w14:textId="77777777" w:rsidR="00D43DC8" w:rsidRDefault="00D43DC8">
      <w:pPr>
        <w:pStyle w:val="Indent1"/>
      </w:pPr>
      <w:bookmarkStart w:id="60" w:name="_Toc477170897"/>
      <w:r>
        <w:t>Fully redundant connection – additional annual charge</w:t>
      </w:r>
      <w:bookmarkEnd w:id="60"/>
    </w:p>
    <w:p w14:paraId="368D5365" w14:textId="77777777" w:rsidR="00D43DC8" w:rsidRDefault="00D43DC8">
      <w:pPr>
        <w:pStyle w:val="Heading2"/>
      </w:pPr>
      <w:r>
        <w:t>We charge you the following annual charge for an Ethernet MAN fully redundant connection:</w:t>
      </w:r>
    </w:p>
    <w:tbl>
      <w:tblPr>
        <w:tblW w:w="652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7"/>
        <w:gridCol w:w="1398"/>
        <w:gridCol w:w="1398"/>
        <w:gridCol w:w="1398"/>
      </w:tblGrid>
      <w:tr w:rsidR="00D43DC8" w14:paraId="31B4E3D1" w14:textId="77777777">
        <w:tblPrEx>
          <w:tblCellMar>
            <w:top w:w="0" w:type="dxa"/>
            <w:bottom w:w="0" w:type="dxa"/>
          </w:tblCellMar>
        </w:tblPrEx>
        <w:trPr>
          <w:trHeight w:val="540"/>
        </w:trPr>
        <w:tc>
          <w:tcPr>
            <w:tcW w:w="6521" w:type="dxa"/>
            <w:gridSpan w:val="4"/>
          </w:tcPr>
          <w:p w14:paraId="66C5149E" w14:textId="77777777" w:rsidR="00D43DC8" w:rsidRDefault="00D43DC8" w:rsidP="00C645DD">
            <w:pPr>
              <w:pStyle w:val="TableHead"/>
              <w:keepNext/>
              <w:spacing w:before="120" w:after="120"/>
              <w:rPr>
                <w:rFonts w:cs="Arial"/>
                <w:bCs/>
              </w:rPr>
            </w:pPr>
            <w:r>
              <w:rPr>
                <w:rFonts w:cs="Arial"/>
                <w:bCs/>
              </w:rPr>
              <w:t>Ethernet MAN fully redundant connection additional annual charges</w:t>
            </w:r>
          </w:p>
        </w:tc>
      </w:tr>
      <w:tr w:rsidR="00D43DC8" w14:paraId="0A78A1CB" w14:textId="77777777">
        <w:tblPrEx>
          <w:tblCellMar>
            <w:top w:w="0" w:type="dxa"/>
            <w:bottom w:w="0" w:type="dxa"/>
          </w:tblCellMar>
        </w:tblPrEx>
        <w:trPr>
          <w:trHeight w:val="540"/>
        </w:trPr>
        <w:tc>
          <w:tcPr>
            <w:tcW w:w="2327" w:type="dxa"/>
          </w:tcPr>
          <w:p w14:paraId="03948A6B" w14:textId="77777777" w:rsidR="00D43DC8" w:rsidRDefault="00D43DC8">
            <w:pPr>
              <w:pStyle w:val="TableHead"/>
              <w:spacing w:before="120" w:after="120"/>
              <w:rPr>
                <w:rFonts w:cs="Arial"/>
                <w:bCs/>
              </w:rPr>
            </w:pPr>
            <w:r>
              <w:rPr>
                <w:rFonts w:cs="Arial"/>
                <w:bCs/>
              </w:rPr>
              <w:t>GST excl.</w:t>
            </w:r>
          </w:p>
        </w:tc>
        <w:tc>
          <w:tcPr>
            <w:tcW w:w="1398" w:type="dxa"/>
          </w:tcPr>
          <w:p w14:paraId="748ED4E7" w14:textId="77777777" w:rsidR="00D43DC8" w:rsidRDefault="00D43DC8">
            <w:pPr>
              <w:spacing w:before="120" w:after="120"/>
              <w:jc w:val="center"/>
              <w:rPr>
                <w:rFonts w:ascii="Arial" w:hAnsi="Arial" w:cs="Arial"/>
                <w:b/>
                <w:bCs/>
                <w:sz w:val="18"/>
              </w:rPr>
            </w:pPr>
            <w:r>
              <w:rPr>
                <w:rFonts w:ascii="Arial" w:hAnsi="Arial" w:cs="Arial"/>
                <w:b/>
                <w:bCs/>
                <w:sz w:val="18"/>
              </w:rPr>
              <w:t>Central business district zone</w:t>
            </w:r>
          </w:p>
        </w:tc>
        <w:tc>
          <w:tcPr>
            <w:tcW w:w="1398" w:type="dxa"/>
          </w:tcPr>
          <w:p w14:paraId="268A9E4D" w14:textId="77777777" w:rsidR="00D43DC8" w:rsidRDefault="00D43DC8">
            <w:pPr>
              <w:spacing w:before="120" w:after="120"/>
              <w:jc w:val="center"/>
              <w:rPr>
                <w:rFonts w:ascii="Arial" w:hAnsi="Arial" w:cs="Arial"/>
                <w:b/>
                <w:bCs/>
                <w:sz w:val="18"/>
              </w:rPr>
            </w:pPr>
            <w:r>
              <w:rPr>
                <w:rFonts w:ascii="Arial" w:hAnsi="Arial" w:cs="Arial"/>
                <w:b/>
                <w:bCs/>
                <w:sz w:val="18"/>
              </w:rPr>
              <w:t>Business zone</w:t>
            </w:r>
          </w:p>
        </w:tc>
        <w:tc>
          <w:tcPr>
            <w:tcW w:w="1398" w:type="dxa"/>
          </w:tcPr>
          <w:p w14:paraId="2EE7B788" w14:textId="77777777" w:rsidR="00D43DC8" w:rsidRDefault="00D43DC8">
            <w:pPr>
              <w:spacing w:before="120" w:after="120"/>
              <w:jc w:val="center"/>
              <w:rPr>
                <w:rFonts w:ascii="Arial" w:hAnsi="Arial" w:cs="Arial"/>
                <w:b/>
                <w:bCs/>
                <w:sz w:val="18"/>
              </w:rPr>
            </w:pPr>
            <w:r>
              <w:rPr>
                <w:rFonts w:ascii="Arial" w:hAnsi="Arial" w:cs="Arial"/>
                <w:b/>
                <w:bCs/>
                <w:sz w:val="18"/>
              </w:rPr>
              <w:t>Metro zone</w:t>
            </w:r>
          </w:p>
        </w:tc>
      </w:tr>
      <w:tr w:rsidR="00D43DC8" w14:paraId="5DB79805" w14:textId="77777777">
        <w:tblPrEx>
          <w:tblCellMar>
            <w:top w:w="0" w:type="dxa"/>
            <w:bottom w:w="0" w:type="dxa"/>
          </w:tblCellMar>
        </w:tblPrEx>
        <w:trPr>
          <w:trHeight w:val="540"/>
        </w:trPr>
        <w:tc>
          <w:tcPr>
            <w:tcW w:w="2327" w:type="dxa"/>
          </w:tcPr>
          <w:p w14:paraId="50E3A3DD" w14:textId="77777777" w:rsidR="00D43DC8" w:rsidRDefault="00D43DC8">
            <w:pPr>
              <w:spacing w:before="120" w:after="120"/>
              <w:rPr>
                <w:rFonts w:ascii="Arial" w:hAnsi="Arial" w:cs="Arial"/>
                <w:sz w:val="18"/>
              </w:rPr>
            </w:pPr>
            <w:r>
              <w:rPr>
                <w:rFonts w:ascii="Arial" w:hAnsi="Arial" w:cs="Arial"/>
                <w:sz w:val="18"/>
              </w:rPr>
              <w:t>For each of your specified addresses</w:t>
            </w:r>
          </w:p>
        </w:tc>
        <w:tc>
          <w:tcPr>
            <w:tcW w:w="1398" w:type="dxa"/>
          </w:tcPr>
          <w:p w14:paraId="48123B30" w14:textId="77777777" w:rsidR="00D43DC8" w:rsidRDefault="00D43DC8" w:rsidP="00EC226F">
            <w:pPr>
              <w:spacing w:before="120" w:after="120"/>
              <w:jc w:val="center"/>
              <w:rPr>
                <w:rFonts w:ascii="Arial" w:hAnsi="Arial" w:cs="Arial"/>
                <w:b/>
                <w:bCs/>
                <w:sz w:val="18"/>
              </w:rPr>
            </w:pPr>
            <w:r>
              <w:rPr>
                <w:rFonts w:ascii="Arial" w:hAnsi="Arial" w:cs="Arial"/>
                <w:b/>
                <w:bCs/>
                <w:sz w:val="18"/>
              </w:rPr>
              <w:t>$28,200.00</w:t>
            </w:r>
          </w:p>
        </w:tc>
        <w:tc>
          <w:tcPr>
            <w:tcW w:w="1398" w:type="dxa"/>
          </w:tcPr>
          <w:p w14:paraId="7E757B79" w14:textId="77777777" w:rsidR="00D43DC8" w:rsidRDefault="00D43DC8" w:rsidP="00EC226F">
            <w:pPr>
              <w:spacing w:before="120" w:after="120"/>
              <w:jc w:val="center"/>
              <w:rPr>
                <w:rFonts w:ascii="Arial" w:hAnsi="Arial" w:cs="Arial"/>
                <w:b/>
                <w:bCs/>
                <w:sz w:val="18"/>
              </w:rPr>
            </w:pPr>
            <w:r>
              <w:rPr>
                <w:rFonts w:ascii="Arial" w:hAnsi="Arial" w:cs="Arial"/>
                <w:b/>
                <w:bCs/>
                <w:sz w:val="18"/>
              </w:rPr>
              <w:t>$38,400.00</w:t>
            </w:r>
          </w:p>
        </w:tc>
        <w:tc>
          <w:tcPr>
            <w:tcW w:w="1398" w:type="dxa"/>
          </w:tcPr>
          <w:p w14:paraId="7C0EC564" w14:textId="77777777" w:rsidR="00D43DC8" w:rsidRDefault="00D43DC8" w:rsidP="00EC226F">
            <w:pPr>
              <w:spacing w:before="120" w:after="120"/>
              <w:jc w:val="center"/>
              <w:rPr>
                <w:rFonts w:ascii="Arial" w:hAnsi="Arial" w:cs="Arial"/>
                <w:b/>
                <w:bCs/>
                <w:sz w:val="18"/>
              </w:rPr>
            </w:pPr>
            <w:r>
              <w:rPr>
                <w:rFonts w:ascii="Arial" w:hAnsi="Arial" w:cs="Arial"/>
                <w:b/>
                <w:bCs/>
                <w:sz w:val="18"/>
              </w:rPr>
              <w:t>$57,00.00</w:t>
            </w:r>
          </w:p>
        </w:tc>
      </w:tr>
    </w:tbl>
    <w:p w14:paraId="674FDA0C" w14:textId="77777777" w:rsidR="00D43DC8" w:rsidRDefault="00D43DC8">
      <w:pPr>
        <w:pStyle w:val="TableData"/>
      </w:pPr>
    </w:p>
    <w:p w14:paraId="7D6CDD37" w14:textId="77777777" w:rsidR="00D43DC8" w:rsidRDefault="00D43DC8">
      <w:pPr>
        <w:pStyle w:val="Heading1"/>
      </w:pPr>
      <w:bookmarkStart w:id="61" w:name="_Toc477170898"/>
      <w:r>
        <w:t>Changing your service</w:t>
      </w:r>
      <w:bookmarkEnd w:id="61"/>
    </w:p>
    <w:p w14:paraId="546F8589" w14:textId="77777777" w:rsidR="00D43DC8" w:rsidRDefault="00D43DC8">
      <w:pPr>
        <w:pStyle w:val="Indent1"/>
      </w:pPr>
      <w:bookmarkStart w:id="62" w:name="_Toc477170899"/>
      <w:r>
        <w:t>Provisioning times</w:t>
      </w:r>
      <w:bookmarkEnd w:id="62"/>
    </w:p>
    <w:p w14:paraId="5562AAAA" w14:textId="77777777" w:rsidR="00D43DC8" w:rsidRDefault="00D43DC8">
      <w:pPr>
        <w:pStyle w:val="Heading2"/>
      </w:pPr>
      <w:r>
        <w:t>The standard target provisioning times for network alterations made by us (not on-line by you) to the service is one working day.</w:t>
      </w:r>
    </w:p>
    <w:p w14:paraId="453A2A0D" w14:textId="77777777" w:rsidR="00D43DC8" w:rsidRDefault="00D43DC8">
      <w:pPr>
        <w:pStyle w:val="Indent1"/>
      </w:pPr>
      <w:bookmarkStart w:id="63" w:name="_Toc477170900"/>
      <w:r>
        <w:t>Changing your link bandwidth</w:t>
      </w:r>
      <w:bookmarkEnd w:id="63"/>
    </w:p>
    <w:p w14:paraId="636C1CF2" w14:textId="77777777" w:rsidR="00D43DC8" w:rsidRDefault="00D43DC8">
      <w:pPr>
        <w:pStyle w:val="Heading2"/>
      </w:pPr>
      <w:r>
        <w:t>For Ethernet MAN dual uplink and Ethernet MAN fully redundant connection, you can submit link bandwidth change requests online using the bandwidth-on-demand dial feature or the time and day schedule manager.  You must submit bandwidth change requests for Ethernet MAN single uplink to us directly.</w:t>
      </w:r>
    </w:p>
    <w:p w14:paraId="459F6327" w14:textId="77777777" w:rsidR="00D43DC8" w:rsidRPr="00D64C3B" w:rsidRDefault="00D43DC8">
      <w:pPr>
        <w:pStyle w:val="Heading2"/>
        <w:rPr>
          <w:snapToGrid w:val="0"/>
        </w:rPr>
      </w:pPr>
      <w:r>
        <w:rPr>
          <w:snapToGrid w:val="0"/>
        </w:rPr>
        <w:t xml:space="preserve">We give you two secure ID devices that must be used to </w:t>
      </w:r>
      <w:r>
        <w:t xml:space="preserve">access bandwidth-on-demand or the time and day schedule manager.  </w:t>
      </w:r>
    </w:p>
    <w:p w14:paraId="0EABB6F2" w14:textId="77777777" w:rsidR="000C78F9" w:rsidRPr="000C78F9" w:rsidRDefault="00D64C3B">
      <w:pPr>
        <w:pStyle w:val="Heading2"/>
        <w:rPr>
          <w:snapToGrid w:val="0"/>
        </w:rPr>
      </w:pPr>
      <w:r>
        <w:t xml:space="preserve">The target activation time for </w:t>
      </w:r>
      <w:r w:rsidR="000C78F9">
        <w:t xml:space="preserve">link bandwidth changes that you tell us about: </w:t>
      </w:r>
    </w:p>
    <w:p w14:paraId="6C962B57" w14:textId="77777777" w:rsidR="000C78F9" w:rsidRPr="000C78F9" w:rsidRDefault="000C78F9" w:rsidP="000C78F9">
      <w:pPr>
        <w:pStyle w:val="Heading3"/>
        <w:rPr>
          <w:snapToGrid w:val="0"/>
        </w:rPr>
      </w:pPr>
      <w:r>
        <w:t>using the bandwidth-on-demand dial feature is 1 minute</w:t>
      </w:r>
      <w:r>
        <w:rPr>
          <w:i/>
          <w:iCs/>
        </w:rPr>
        <w:t xml:space="preserve"> </w:t>
      </w:r>
      <w:r>
        <w:t xml:space="preserve">after we receive a valid </w:t>
      </w:r>
      <w:r>
        <w:rPr>
          <w:iCs/>
        </w:rPr>
        <w:t>link b</w:t>
      </w:r>
      <w:r w:rsidRPr="000C78F9">
        <w:rPr>
          <w:iCs/>
        </w:rPr>
        <w:t>andwidth</w:t>
      </w:r>
      <w:r>
        <w:t xml:space="preserve"> change request from you; and</w:t>
      </w:r>
    </w:p>
    <w:p w14:paraId="5809A91B" w14:textId="77777777" w:rsidR="00D64C3B" w:rsidRDefault="000C78F9" w:rsidP="000C78F9">
      <w:pPr>
        <w:pStyle w:val="Heading3"/>
        <w:rPr>
          <w:snapToGrid w:val="0"/>
        </w:rPr>
      </w:pPr>
      <w:r>
        <w:t>using the time and day schedule manager is 1 minute</w:t>
      </w:r>
      <w:r>
        <w:rPr>
          <w:i/>
          <w:iCs/>
        </w:rPr>
        <w:t xml:space="preserve"> </w:t>
      </w:r>
      <w:r>
        <w:t xml:space="preserve">after the time specified in a valid </w:t>
      </w:r>
      <w:r>
        <w:rPr>
          <w:iCs/>
        </w:rPr>
        <w:t>link b</w:t>
      </w:r>
      <w:r w:rsidRPr="000C78F9">
        <w:rPr>
          <w:iCs/>
        </w:rPr>
        <w:t>andwidth</w:t>
      </w:r>
      <w:r>
        <w:t xml:space="preserve"> change request.</w:t>
      </w:r>
    </w:p>
    <w:p w14:paraId="05A95E6F" w14:textId="77777777" w:rsidR="00D43DC8" w:rsidRDefault="00D43DC8">
      <w:pPr>
        <w:pStyle w:val="Heading2"/>
      </w:pPr>
      <w:r>
        <w:rPr>
          <w:snapToGrid w:val="0"/>
        </w:rPr>
        <w:lastRenderedPageBreak/>
        <w:t>We do not promise the availability, effectiveness or performance of the bandwidth-on-demand dial or time and day schedule manager.  You must ensure that you tell us about the link bandwidth change requests and verify that they are effective.</w:t>
      </w:r>
    </w:p>
    <w:p w14:paraId="4D9871D6" w14:textId="77777777" w:rsidR="00D43DC8" w:rsidRDefault="00D43DC8">
      <w:pPr>
        <w:pStyle w:val="Heading2"/>
        <w:rPr>
          <w:bCs w:val="0"/>
        </w:rPr>
      </w:pPr>
      <w:r>
        <w:rPr>
          <w:bCs w:val="0"/>
        </w:rPr>
        <w:t>We use the following bands to determine link bandwidth change charges:</w:t>
      </w:r>
    </w:p>
    <w:tbl>
      <w:tblPr>
        <w:tblW w:w="652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416"/>
        <w:gridCol w:w="850"/>
        <w:gridCol w:w="851"/>
        <w:gridCol w:w="851"/>
        <w:gridCol w:w="851"/>
        <w:gridCol w:w="851"/>
        <w:gridCol w:w="851"/>
      </w:tblGrid>
      <w:tr w:rsidR="00D43DC8" w14:paraId="6A3123A2" w14:textId="77777777">
        <w:tblPrEx>
          <w:tblCellMar>
            <w:top w:w="0" w:type="dxa"/>
            <w:bottom w:w="0" w:type="dxa"/>
          </w:tblCellMar>
        </w:tblPrEx>
        <w:trPr>
          <w:cantSplit/>
          <w:trHeight w:val="262"/>
          <w:tblHeader/>
        </w:trPr>
        <w:tc>
          <w:tcPr>
            <w:tcW w:w="1418" w:type="dxa"/>
          </w:tcPr>
          <w:p w14:paraId="6C53EA58" w14:textId="77777777" w:rsidR="00D43DC8" w:rsidRDefault="00D43DC8">
            <w:pPr>
              <w:keepNext/>
              <w:spacing w:before="120" w:after="120"/>
              <w:jc w:val="center"/>
              <w:rPr>
                <w:rFonts w:ascii="Arial" w:hAnsi="Arial" w:cs="Arial"/>
                <w:b/>
                <w:sz w:val="18"/>
              </w:rPr>
            </w:pPr>
            <w:r>
              <w:rPr>
                <w:rFonts w:ascii="Arial" w:hAnsi="Arial" w:cs="Arial"/>
                <w:b/>
                <w:bCs/>
                <w:sz w:val="18"/>
              </w:rPr>
              <w:t>Band</w:t>
            </w:r>
          </w:p>
        </w:tc>
        <w:tc>
          <w:tcPr>
            <w:tcW w:w="851" w:type="dxa"/>
            <w:gridSpan w:val="6"/>
          </w:tcPr>
          <w:p w14:paraId="6A52165F" w14:textId="77777777" w:rsidR="00D43DC8" w:rsidRDefault="00D43DC8">
            <w:pPr>
              <w:keepNext/>
              <w:spacing w:before="120" w:after="120"/>
              <w:jc w:val="center"/>
              <w:rPr>
                <w:rFonts w:ascii="Arial" w:hAnsi="Arial" w:cs="Arial"/>
                <w:sz w:val="18"/>
              </w:rPr>
            </w:pPr>
            <w:r>
              <w:rPr>
                <w:rFonts w:ascii="Arial" w:hAnsi="Arial" w:cs="Arial"/>
                <w:b/>
                <w:sz w:val="18"/>
              </w:rPr>
              <w:t>Link Bandwidth (Mbit/s)</w:t>
            </w:r>
          </w:p>
        </w:tc>
      </w:tr>
      <w:tr w:rsidR="00D43DC8" w14:paraId="4F3DFEF9" w14:textId="77777777">
        <w:tblPrEx>
          <w:tblCellMar>
            <w:top w:w="0" w:type="dxa"/>
            <w:bottom w:w="0" w:type="dxa"/>
          </w:tblCellMar>
        </w:tblPrEx>
        <w:trPr>
          <w:trHeight w:val="262"/>
        </w:trPr>
        <w:tc>
          <w:tcPr>
            <w:tcW w:w="1418" w:type="dxa"/>
          </w:tcPr>
          <w:p w14:paraId="7A30F7FB" w14:textId="77777777" w:rsidR="00D43DC8" w:rsidRDefault="00D43DC8">
            <w:pPr>
              <w:spacing w:before="120" w:after="120"/>
              <w:jc w:val="center"/>
              <w:rPr>
                <w:rFonts w:ascii="Arial" w:hAnsi="Arial" w:cs="Arial"/>
                <w:b/>
                <w:sz w:val="18"/>
              </w:rPr>
            </w:pPr>
            <w:r>
              <w:rPr>
                <w:rFonts w:ascii="Arial" w:hAnsi="Arial" w:cs="Arial"/>
                <w:b/>
                <w:sz w:val="18"/>
              </w:rPr>
              <w:t>1</w:t>
            </w:r>
          </w:p>
        </w:tc>
        <w:tc>
          <w:tcPr>
            <w:tcW w:w="851" w:type="dxa"/>
            <w:tcBorders>
              <w:right w:val="nil"/>
            </w:tcBorders>
          </w:tcPr>
          <w:p w14:paraId="43A65B3C" w14:textId="77777777" w:rsidR="00D43DC8" w:rsidRDefault="00D43DC8">
            <w:pPr>
              <w:spacing w:before="120" w:after="120"/>
              <w:jc w:val="center"/>
              <w:rPr>
                <w:rFonts w:ascii="Arial" w:hAnsi="Arial" w:cs="Arial"/>
                <w:sz w:val="18"/>
              </w:rPr>
            </w:pPr>
            <w:r>
              <w:rPr>
                <w:rFonts w:ascii="Arial" w:hAnsi="Arial" w:cs="Arial"/>
                <w:sz w:val="18"/>
              </w:rPr>
              <w:t>2</w:t>
            </w:r>
          </w:p>
        </w:tc>
        <w:tc>
          <w:tcPr>
            <w:tcW w:w="851" w:type="dxa"/>
            <w:tcBorders>
              <w:left w:val="nil"/>
              <w:right w:val="nil"/>
            </w:tcBorders>
          </w:tcPr>
          <w:p w14:paraId="6006DACC" w14:textId="77777777" w:rsidR="00D43DC8" w:rsidRDefault="00D43DC8">
            <w:pPr>
              <w:spacing w:before="120" w:after="120"/>
              <w:jc w:val="center"/>
              <w:rPr>
                <w:rFonts w:ascii="Arial" w:hAnsi="Arial" w:cs="Arial"/>
                <w:sz w:val="18"/>
              </w:rPr>
            </w:pPr>
            <w:r>
              <w:rPr>
                <w:rFonts w:ascii="Arial" w:hAnsi="Arial" w:cs="Arial"/>
                <w:sz w:val="18"/>
              </w:rPr>
              <w:t>3</w:t>
            </w:r>
          </w:p>
        </w:tc>
        <w:tc>
          <w:tcPr>
            <w:tcW w:w="851" w:type="dxa"/>
            <w:tcBorders>
              <w:left w:val="nil"/>
              <w:right w:val="nil"/>
            </w:tcBorders>
          </w:tcPr>
          <w:p w14:paraId="0204A153" w14:textId="77777777" w:rsidR="00D43DC8" w:rsidRDefault="00D43DC8">
            <w:pPr>
              <w:spacing w:before="120" w:after="120"/>
              <w:jc w:val="center"/>
              <w:rPr>
                <w:rFonts w:ascii="Arial" w:hAnsi="Arial" w:cs="Arial"/>
                <w:sz w:val="18"/>
              </w:rPr>
            </w:pPr>
            <w:r>
              <w:rPr>
                <w:rFonts w:ascii="Arial" w:hAnsi="Arial" w:cs="Arial"/>
                <w:sz w:val="18"/>
              </w:rPr>
              <w:t>4</w:t>
            </w:r>
          </w:p>
        </w:tc>
        <w:tc>
          <w:tcPr>
            <w:tcW w:w="851" w:type="dxa"/>
            <w:tcBorders>
              <w:left w:val="nil"/>
              <w:right w:val="nil"/>
            </w:tcBorders>
          </w:tcPr>
          <w:p w14:paraId="06AD9F22" w14:textId="77777777" w:rsidR="00D43DC8" w:rsidRDefault="00D43DC8">
            <w:pPr>
              <w:spacing w:before="120" w:after="120"/>
              <w:jc w:val="center"/>
              <w:rPr>
                <w:rFonts w:ascii="Arial" w:hAnsi="Arial" w:cs="Arial"/>
                <w:sz w:val="18"/>
              </w:rPr>
            </w:pPr>
            <w:r>
              <w:rPr>
                <w:rFonts w:ascii="Arial" w:hAnsi="Arial" w:cs="Arial"/>
                <w:sz w:val="18"/>
              </w:rPr>
              <w:t>8</w:t>
            </w:r>
          </w:p>
        </w:tc>
        <w:tc>
          <w:tcPr>
            <w:tcW w:w="851" w:type="dxa"/>
            <w:tcBorders>
              <w:left w:val="nil"/>
              <w:right w:val="nil"/>
            </w:tcBorders>
          </w:tcPr>
          <w:p w14:paraId="4DBE94C0" w14:textId="77777777" w:rsidR="00D43DC8" w:rsidRDefault="00D43DC8">
            <w:pPr>
              <w:spacing w:before="120" w:after="120"/>
              <w:jc w:val="center"/>
              <w:rPr>
                <w:rFonts w:ascii="Arial" w:hAnsi="Arial" w:cs="Arial"/>
                <w:sz w:val="18"/>
              </w:rPr>
            </w:pPr>
            <w:r>
              <w:rPr>
                <w:rFonts w:ascii="Arial" w:hAnsi="Arial" w:cs="Arial"/>
                <w:sz w:val="18"/>
              </w:rPr>
              <w:t>10</w:t>
            </w:r>
          </w:p>
        </w:tc>
        <w:tc>
          <w:tcPr>
            <w:tcW w:w="851" w:type="dxa"/>
            <w:tcBorders>
              <w:left w:val="nil"/>
            </w:tcBorders>
          </w:tcPr>
          <w:p w14:paraId="235D5977" w14:textId="77777777" w:rsidR="00D43DC8" w:rsidRDefault="00D43DC8">
            <w:pPr>
              <w:spacing w:before="120" w:after="120"/>
              <w:jc w:val="center"/>
              <w:rPr>
                <w:rFonts w:ascii="Arial" w:hAnsi="Arial" w:cs="Arial"/>
                <w:sz w:val="18"/>
              </w:rPr>
            </w:pPr>
          </w:p>
        </w:tc>
      </w:tr>
      <w:tr w:rsidR="00D43DC8" w14:paraId="370F797E" w14:textId="77777777">
        <w:tblPrEx>
          <w:tblCellMar>
            <w:top w:w="0" w:type="dxa"/>
            <w:bottom w:w="0" w:type="dxa"/>
          </w:tblCellMar>
        </w:tblPrEx>
        <w:trPr>
          <w:trHeight w:val="262"/>
        </w:trPr>
        <w:tc>
          <w:tcPr>
            <w:tcW w:w="1418" w:type="dxa"/>
          </w:tcPr>
          <w:p w14:paraId="186B8102" w14:textId="77777777" w:rsidR="00D43DC8" w:rsidRDefault="00D43DC8">
            <w:pPr>
              <w:spacing w:before="120" w:after="120"/>
              <w:jc w:val="center"/>
              <w:rPr>
                <w:rFonts w:ascii="Arial" w:hAnsi="Arial" w:cs="Arial"/>
                <w:b/>
                <w:sz w:val="18"/>
              </w:rPr>
            </w:pPr>
            <w:r>
              <w:rPr>
                <w:rFonts w:ascii="Arial" w:hAnsi="Arial" w:cs="Arial"/>
                <w:b/>
                <w:sz w:val="18"/>
              </w:rPr>
              <w:t>2</w:t>
            </w:r>
          </w:p>
        </w:tc>
        <w:tc>
          <w:tcPr>
            <w:tcW w:w="851" w:type="dxa"/>
            <w:tcBorders>
              <w:right w:val="nil"/>
            </w:tcBorders>
          </w:tcPr>
          <w:p w14:paraId="6F40E870" w14:textId="77777777" w:rsidR="00D43DC8" w:rsidRDefault="00D43DC8">
            <w:pPr>
              <w:spacing w:before="120" w:after="120"/>
              <w:jc w:val="center"/>
              <w:rPr>
                <w:rFonts w:ascii="Arial" w:hAnsi="Arial" w:cs="Arial"/>
                <w:sz w:val="18"/>
              </w:rPr>
            </w:pPr>
            <w:r>
              <w:rPr>
                <w:rFonts w:ascii="Arial" w:hAnsi="Arial" w:cs="Arial"/>
                <w:sz w:val="18"/>
              </w:rPr>
              <w:t>10</w:t>
            </w:r>
          </w:p>
        </w:tc>
        <w:tc>
          <w:tcPr>
            <w:tcW w:w="851" w:type="dxa"/>
            <w:tcBorders>
              <w:left w:val="nil"/>
              <w:right w:val="nil"/>
            </w:tcBorders>
          </w:tcPr>
          <w:p w14:paraId="2822122A" w14:textId="77777777" w:rsidR="00D43DC8" w:rsidRDefault="00D43DC8">
            <w:pPr>
              <w:spacing w:before="120" w:after="120"/>
              <w:jc w:val="center"/>
              <w:rPr>
                <w:rFonts w:ascii="Arial" w:hAnsi="Arial" w:cs="Arial"/>
                <w:sz w:val="18"/>
              </w:rPr>
            </w:pPr>
            <w:r>
              <w:rPr>
                <w:rFonts w:ascii="Arial" w:hAnsi="Arial" w:cs="Arial"/>
                <w:sz w:val="18"/>
              </w:rPr>
              <w:t>20</w:t>
            </w:r>
          </w:p>
        </w:tc>
        <w:tc>
          <w:tcPr>
            <w:tcW w:w="851" w:type="dxa"/>
            <w:tcBorders>
              <w:left w:val="nil"/>
              <w:right w:val="nil"/>
            </w:tcBorders>
          </w:tcPr>
          <w:p w14:paraId="3E1FAA4D" w14:textId="77777777" w:rsidR="00D43DC8" w:rsidRDefault="00D43DC8">
            <w:pPr>
              <w:spacing w:before="120" w:after="120"/>
              <w:jc w:val="center"/>
              <w:rPr>
                <w:rFonts w:ascii="Arial" w:hAnsi="Arial" w:cs="Arial"/>
                <w:sz w:val="18"/>
              </w:rPr>
            </w:pPr>
          </w:p>
        </w:tc>
        <w:tc>
          <w:tcPr>
            <w:tcW w:w="851" w:type="dxa"/>
            <w:tcBorders>
              <w:left w:val="nil"/>
              <w:right w:val="nil"/>
            </w:tcBorders>
          </w:tcPr>
          <w:p w14:paraId="5FD52C07" w14:textId="77777777" w:rsidR="00D43DC8" w:rsidRDefault="00D43DC8">
            <w:pPr>
              <w:spacing w:before="120" w:after="120"/>
              <w:jc w:val="center"/>
              <w:rPr>
                <w:rFonts w:ascii="Arial" w:hAnsi="Arial" w:cs="Arial"/>
                <w:sz w:val="18"/>
              </w:rPr>
            </w:pPr>
          </w:p>
        </w:tc>
        <w:tc>
          <w:tcPr>
            <w:tcW w:w="851" w:type="dxa"/>
            <w:tcBorders>
              <w:left w:val="nil"/>
              <w:right w:val="nil"/>
            </w:tcBorders>
          </w:tcPr>
          <w:p w14:paraId="10070381" w14:textId="77777777" w:rsidR="00D43DC8" w:rsidRDefault="00D43DC8">
            <w:pPr>
              <w:spacing w:before="120" w:after="120"/>
              <w:jc w:val="center"/>
              <w:rPr>
                <w:rFonts w:ascii="Arial" w:hAnsi="Arial" w:cs="Arial"/>
                <w:sz w:val="18"/>
              </w:rPr>
            </w:pPr>
          </w:p>
        </w:tc>
        <w:tc>
          <w:tcPr>
            <w:tcW w:w="851" w:type="dxa"/>
            <w:tcBorders>
              <w:left w:val="nil"/>
            </w:tcBorders>
          </w:tcPr>
          <w:p w14:paraId="781E221C" w14:textId="77777777" w:rsidR="00D43DC8" w:rsidRDefault="00D43DC8">
            <w:pPr>
              <w:spacing w:before="120" w:after="120"/>
              <w:jc w:val="center"/>
              <w:rPr>
                <w:rFonts w:ascii="Arial" w:hAnsi="Arial" w:cs="Arial"/>
                <w:sz w:val="18"/>
              </w:rPr>
            </w:pPr>
          </w:p>
        </w:tc>
      </w:tr>
      <w:tr w:rsidR="00D43DC8" w14:paraId="6A4084AB" w14:textId="77777777">
        <w:tblPrEx>
          <w:tblCellMar>
            <w:top w:w="0" w:type="dxa"/>
            <w:bottom w:w="0" w:type="dxa"/>
          </w:tblCellMar>
        </w:tblPrEx>
        <w:trPr>
          <w:trHeight w:val="262"/>
        </w:trPr>
        <w:tc>
          <w:tcPr>
            <w:tcW w:w="1418" w:type="dxa"/>
          </w:tcPr>
          <w:p w14:paraId="67B4B136" w14:textId="77777777" w:rsidR="00D43DC8" w:rsidRDefault="00D43DC8">
            <w:pPr>
              <w:spacing w:before="120" w:after="120"/>
              <w:jc w:val="center"/>
              <w:rPr>
                <w:rFonts w:ascii="Arial" w:hAnsi="Arial" w:cs="Arial"/>
                <w:b/>
                <w:sz w:val="18"/>
              </w:rPr>
            </w:pPr>
            <w:r>
              <w:rPr>
                <w:rFonts w:ascii="Arial" w:hAnsi="Arial" w:cs="Arial"/>
                <w:b/>
                <w:sz w:val="18"/>
              </w:rPr>
              <w:t>3</w:t>
            </w:r>
          </w:p>
        </w:tc>
        <w:tc>
          <w:tcPr>
            <w:tcW w:w="851" w:type="dxa"/>
            <w:tcBorders>
              <w:right w:val="nil"/>
            </w:tcBorders>
          </w:tcPr>
          <w:p w14:paraId="19FF47AD" w14:textId="77777777" w:rsidR="00D43DC8" w:rsidRDefault="00D43DC8">
            <w:pPr>
              <w:spacing w:before="120" w:after="120"/>
              <w:jc w:val="center"/>
              <w:rPr>
                <w:rFonts w:ascii="Arial" w:hAnsi="Arial" w:cs="Arial"/>
                <w:sz w:val="18"/>
              </w:rPr>
            </w:pPr>
            <w:r>
              <w:rPr>
                <w:rFonts w:ascii="Arial" w:hAnsi="Arial" w:cs="Arial"/>
                <w:sz w:val="18"/>
              </w:rPr>
              <w:t>20</w:t>
            </w:r>
          </w:p>
        </w:tc>
        <w:tc>
          <w:tcPr>
            <w:tcW w:w="851" w:type="dxa"/>
            <w:tcBorders>
              <w:left w:val="nil"/>
              <w:right w:val="nil"/>
            </w:tcBorders>
          </w:tcPr>
          <w:p w14:paraId="716D7044" w14:textId="77777777" w:rsidR="00D43DC8" w:rsidRDefault="00D43DC8">
            <w:pPr>
              <w:spacing w:before="120" w:after="120"/>
              <w:jc w:val="center"/>
              <w:rPr>
                <w:rFonts w:ascii="Arial" w:hAnsi="Arial" w:cs="Arial"/>
                <w:sz w:val="18"/>
              </w:rPr>
            </w:pPr>
            <w:r>
              <w:rPr>
                <w:rFonts w:ascii="Arial" w:hAnsi="Arial" w:cs="Arial"/>
                <w:sz w:val="18"/>
              </w:rPr>
              <w:t>30</w:t>
            </w:r>
          </w:p>
        </w:tc>
        <w:tc>
          <w:tcPr>
            <w:tcW w:w="851" w:type="dxa"/>
            <w:tcBorders>
              <w:left w:val="nil"/>
              <w:right w:val="nil"/>
            </w:tcBorders>
          </w:tcPr>
          <w:p w14:paraId="0E78D84B" w14:textId="77777777" w:rsidR="00D43DC8" w:rsidRDefault="00D43DC8">
            <w:pPr>
              <w:spacing w:before="120" w:after="120"/>
              <w:jc w:val="center"/>
              <w:rPr>
                <w:rFonts w:ascii="Arial" w:hAnsi="Arial" w:cs="Arial"/>
                <w:sz w:val="18"/>
              </w:rPr>
            </w:pPr>
            <w:r>
              <w:rPr>
                <w:rFonts w:ascii="Arial" w:hAnsi="Arial" w:cs="Arial"/>
                <w:sz w:val="18"/>
              </w:rPr>
              <w:t>40</w:t>
            </w:r>
          </w:p>
        </w:tc>
        <w:tc>
          <w:tcPr>
            <w:tcW w:w="851" w:type="dxa"/>
            <w:tcBorders>
              <w:left w:val="nil"/>
              <w:right w:val="nil"/>
            </w:tcBorders>
          </w:tcPr>
          <w:p w14:paraId="4D0E64D3" w14:textId="77777777" w:rsidR="00D43DC8" w:rsidRDefault="00D43DC8">
            <w:pPr>
              <w:spacing w:before="120" w:after="120"/>
              <w:jc w:val="center"/>
              <w:rPr>
                <w:rFonts w:ascii="Arial" w:hAnsi="Arial" w:cs="Arial"/>
                <w:sz w:val="18"/>
              </w:rPr>
            </w:pPr>
          </w:p>
        </w:tc>
        <w:tc>
          <w:tcPr>
            <w:tcW w:w="851" w:type="dxa"/>
            <w:tcBorders>
              <w:left w:val="nil"/>
              <w:right w:val="nil"/>
            </w:tcBorders>
          </w:tcPr>
          <w:p w14:paraId="3C3ED99B" w14:textId="77777777" w:rsidR="00D43DC8" w:rsidRDefault="00D43DC8">
            <w:pPr>
              <w:spacing w:before="120" w:after="120"/>
              <w:jc w:val="center"/>
              <w:rPr>
                <w:rFonts w:ascii="Arial" w:hAnsi="Arial" w:cs="Arial"/>
                <w:sz w:val="18"/>
              </w:rPr>
            </w:pPr>
          </w:p>
        </w:tc>
        <w:tc>
          <w:tcPr>
            <w:tcW w:w="851" w:type="dxa"/>
            <w:tcBorders>
              <w:left w:val="nil"/>
            </w:tcBorders>
          </w:tcPr>
          <w:p w14:paraId="522ED8D0" w14:textId="77777777" w:rsidR="00D43DC8" w:rsidRDefault="00D43DC8">
            <w:pPr>
              <w:spacing w:before="120" w:after="120"/>
              <w:jc w:val="center"/>
              <w:rPr>
                <w:rFonts w:ascii="Arial" w:hAnsi="Arial" w:cs="Arial"/>
                <w:sz w:val="18"/>
              </w:rPr>
            </w:pPr>
          </w:p>
        </w:tc>
      </w:tr>
      <w:tr w:rsidR="00D43DC8" w14:paraId="776A9C97" w14:textId="77777777">
        <w:tblPrEx>
          <w:tblCellMar>
            <w:top w:w="0" w:type="dxa"/>
            <w:bottom w:w="0" w:type="dxa"/>
          </w:tblCellMar>
        </w:tblPrEx>
        <w:trPr>
          <w:trHeight w:val="262"/>
        </w:trPr>
        <w:tc>
          <w:tcPr>
            <w:tcW w:w="1418" w:type="dxa"/>
          </w:tcPr>
          <w:p w14:paraId="482E7D8C" w14:textId="77777777" w:rsidR="00D43DC8" w:rsidRDefault="00D43DC8">
            <w:pPr>
              <w:spacing w:before="120" w:after="120"/>
              <w:jc w:val="center"/>
              <w:rPr>
                <w:rFonts w:ascii="Arial" w:hAnsi="Arial" w:cs="Arial"/>
                <w:b/>
                <w:sz w:val="18"/>
              </w:rPr>
            </w:pPr>
            <w:r>
              <w:rPr>
                <w:rFonts w:ascii="Arial" w:hAnsi="Arial" w:cs="Arial"/>
                <w:b/>
                <w:sz w:val="18"/>
              </w:rPr>
              <w:t>4</w:t>
            </w:r>
          </w:p>
        </w:tc>
        <w:tc>
          <w:tcPr>
            <w:tcW w:w="851" w:type="dxa"/>
            <w:tcBorders>
              <w:right w:val="nil"/>
            </w:tcBorders>
          </w:tcPr>
          <w:p w14:paraId="3A932D24" w14:textId="77777777" w:rsidR="00D43DC8" w:rsidRDefault="00D43DC8">
            <w:pPr>
              <w:spacing w:before="120" w:after="120"/>
              <w:jc w:val="center"/>
              <w:rPr>
                <w:rFonts w:ascii="Arial" w:hAnsi="Arial" w:cs="Arial"/>
                <w:sz w:val="18"/>
              </w:rPr>
            </w:pPr>
            <w:r>
              <w:rPr>
                <w:rFonts w:ascii="Arial" w:hAnsi="Arial" w:cs="Arial"/>
                <w:sz w:val="18"/>
              </w:rPr>
              <w:t>30</w:t>
            </w:r>
          </w:p>
        </w:tc>
        <w:tc>
          <w:tcPr>
            <w:tcW w:w="851" w:type="dxa"/>
            <w:tcBorders>
              <w:left w:val="nil"/>
              <w:right w:val="nil"/>
            </w:tcBorders>
          </w:tcPr>
          <w:p w14:paraId="3B378A48" w14:textId="77777777" w:rsidR="00D43DC8" w:rsidRDefault="00D43DC8">
            <w:pPr>
              <w:spacing w:before="120" w:after="120"/>
              <w:jc w:val="center"/>
              <w:rPr>
                <w:rFonts w:ascii="Arial" w:hAnsi="Arial" w:cs="Arial"/>
                <w:sz w:val="18"/>
              </w:rPr>
            </w:pPr>
            <w:r>
              <w:rPr>
                <w:rFonts w:ascii="Arial" w:hAnsi="Arial" w:cs="Arial"/>
                <w:sz w:val="18"/>
              </w:rPr>
              <w:t>40</w:t>
            </w:r>
          </w:p>
        </w:tc>
        <w:tc>
          <w:tcPr>
            <w:tcW w:w="851" w:type="dxa"/>
            <w:tcBorders>
              <w:left w:val="nil"/>
              <w:right w:val="nil"/>
            </w:tcBorders>
          </w:tcPr>
          <w:p w14:paraId="5CC0BB94" w14:textId="77777777" w:rsidR="00D43DC8" w:rsidRDefault="00D43DC8">
            <w:pPr>
              <w:spacing w:before="120" w:after="120"/>
              <w:jc w:val="center"/>
              <w:rPr>
                <w:rFonts w:ascii="Arial" w:hAnsi="Arial" w:cs="Arial"/>
                <w:sz w:val="18"/>
              </w:rPr>
            </w:pPr>
            <w:r>
              <w:rPr>
                <w:rFonts w:ascii="Arial" w:hAnsi="Arial" w:cs="Arial"/>
                <w:sz w:val="18"/>
              </w:rPr>
              <w:t>50</w:t>
            </w:r>
          </w:p>
        </w:tc>
        <w:tc>
          <w:tcPr>
            <w:tcW w:w="851" w:type="dxa"/>
            <w:tcBorders>
              <w:left w:val="nil"/>
              <w:right w:val="nil"/>
            </w:tcBorders>
          </w:tcPr>
          <w:p w14:paraId="68E90B48" w14:textId="77777777" w:rsidR="00D43DC8" w:rsidRDefault="00D43DC8">
            <w:pPr>
              <w:spacing w:before="120" w:after="120"/>
              <w:jc w:val="center"/>
              <w:rPr>
                <w:rFonts w:ascii="Arial" w:hAnsi="Arial" w:cs="Arial"/>
                <w:sz w:val="18"/>
              </w:rPr>
            </w:pPr>
            <w:r>
              <w:rPr>
                <w:rFonts w:ascii="Arial" w:hAnsi="Arial" w:cs="Arial"/>
                <w:sz w:val="18"/>
              </w:rPr>
              <w:t>60</w:t>
            </w:r>
          </w:p>
        </w:tc>
        <w:tc>
          <w:tcPr>
            <w:tcW w:w="851" w:type="dxa"/>
            <w:tcBorders>
              <w:left w:val="nil"/>
              <w:right w:val="nil"/>
            </w:tcBorders>
          </w:tcPr>
          <w:p w14:paraId="4F62C649" w14:textId="77777777" w:rsidR="00D43DC8" w:rsidRDefault="00D43DC8">
            <w:pPr>
              <w:spacing w:before="120" w:after="120"/>
              <w:jc w:val="center"/>
              <w:rPr>
                <w:rFonts w:ascii="Arial" w:hAnsi="Arial" w:cs="Arial"/>
                <w:sz w:val="18"/>
              </w:rPr>
            </w:pPr>
            <w:r>
              <w:rPr>
                <w:rFonts w:ascii="Arial" w:hAnsi="Arial" w:cs="Arial"/>
                <w:sz w:val="18"/>
              </w:rPr>
              <w:t>70</w:t>
            </w:r>
          </w:p>
        </w:tc>
        <w:tc>
          <w:tcPr>
            <w:tcW w:w="851" w:type="dxa"/>
            <w:tcBorders>
              <w:left w:val="nil"/>
            </w:tcBorders>
          </w:tcPr>
          <w:p w14:paraId="1B5DC566" w14:textId="77777777" w:rsidR="00D43DC8" w:rsidRDefault="00D43DC8">
            <w:pPr>
              <w:spacing w:before="120" w:after="120"/>
              <w:jc w:val="center"/>
              <w:rPr>
                <w:rFonts w:ascii="Arial" w:hAnsi="Arial" w:cs="Arial"/>
                <w:sz w:val="18"/>
              </w:rPr>
            </w:pPr>
            <w:r>
              <w:rPr>
                <w:rFonts w:ascii="Arial" w:hAnsi="Arial" w:cs="Arial"/>
                <w:sz w:val="18"/>
              </w:rPr>
              <w:t>80</w:t>
            </w:r>
          </w:p>
        </w:tc>
      </w:tr>
      <w:tr w:rsidR="00D43DC8" w14:paraId="37C5B4A0" w14:textId="77777777">
        <w:tblPrEx>
          <w:tblCellMar>
            <w:top w:w="0" w:type="dxa"/>
            <w:bottom w:w="0" w:type="dxa"/>
          </w:tblCellMar>
        </w:tblPrEx>
        <w:trPr>
          <w:trHeight w:val="262"/>
        </w:trPr>
        <w:tc>
          <w:tcPr>
            <w:tcW w:w="1418" w:type="dxa"/>
          </w:tcPr>
          <w:p w14:paraId="50063215" w14:textId="77777777" w:rsidR="00D43DC8" w:rsidRDefault="00D43DC8">
            <w:pPr>
              <w:spacing w:before="120" w:after="120"/>
              <w:jc w:val="center"/>
              <w:rPr>
                <w:rFonts w:ascii="Arial" w:hAnsi="Arial" w:cs="Arial"/>
                <w:b/>
                <w:sz w:val="18"/>
              </w:rPr>
            </w:pPr>
            <w:r>
              <w:rPr>
                <w:rFonts w:ascii="Arial" w:hAnsi="Arial" w:cs="Arial"/>
                <w:b/>
                <w:sz w:val="18"/>
              </w:rPr>
              <w:t>5</w:t>
            </w:r>
          </w:p>
        </w:tc>
        <w:tc>
          <w:tcPr>
            <w:tcW w:w="851" w:type="dxa"/>
            <w:tcBorders>
              <w:right w:val="nil"/>
            </w:tcBorders>
          </w:tcPr>
          <w:p w14:paraId="18BC38C2" w14:textId="77777777" w:rsidR="00D43DC8" w:rsidRDefault="00D43DC8">
            <w:pPr>
              <w:spacing w:before="120" w:after="120"/>
              <w:jc w:val="center"/>
              <w:rPr>
                <w:rFonts w:ascii="Arial" w:hAnsi="Arial" w:cs="Arial"/>
                <w:sz w:val="18"/>
              </w:rPr>
            </w:pPr>
            <w:r>
              <w:rPr>
                <w:rFonts w:ascii="Arial" w:hAnsi="Arial" w:cs="Arial"/>
                <w:sz w:val="18"/>
              </w:rPr>
              <w:t>60</w:t>
            </w:r>
          </w:p>
        </w:tc>
        <w:tc>
          <w:tcPr>
            <w:tcW w:w="851" w:type="dxa"/>
            <w:tcBorders>
              <w:left w:val="nil"/>
              <w:right w:val="nil"/>
            </w:tcBorders>
          </w:tcPr>
          <w:p w14:paraId="07DA17E3" w14:textId="77777777" w:rsidR="00D43DC8" w:rsidRDefault="00D43DC8">
            <w:pPr>
              <w:spacing w:before="120" w:after="120"/>
              <w:jc w:val="center"/>
              <w:rPr>
                <w:rFonts w:ascii="Arial" w:hAnsi="Arial" w:cs="Arial"/>
                <w:sz w:val="18"/>
              </w:rPr>
            </w:pPr>
            <w:r>
              <w:rPr>
                <w:rFonts w:ascii="Arial" w:hAnsi="Arial" w:cs="Arial"/>
                <w:sz w:val="18"/>
              </w:rPr>
              <w:t>70</w:t>
            </w:r>
          </w:p>
        </w:tc>
        <w:tc>
          <w:tcPr>
            <w:tcW w:w="851" w:type="dxa"/>
            <w:tcBorders>
              <w:left w:val="nil"/>
              <w:right w:val="nil"/>
            </w:tcBorders>
          </w:tcPr>
          <w:p w14:paraId="54D315C9" w14:textId="77777777" w:rsidR="00D43DC8" w:rsidRDefault="00D43DC8">
            <w:pPr>
              <w:spacing w:before="120" w:after="120"/>
              <w:jc w:val="center"/>
              <w:rPr>
                <w:rFonts w:ascii="Arial" w:hAnsi="Arial" w:cs="Arial"/>
                <w:sz w:val="18"/>
              </w:rPr>
            </w:pPr>
            <w:r>
              <w:rPr>
                <w:rFonts w:ascii="Arial" w:hAnsi="Arial" w:cs="Arial"/>
                <w:sz w:val="18"/>
              </w:rPr>
              <w:t>80</w:t>
            </w:r>
          </w:p>
        </w:tc>
        <w:tc>
          <w:tcPr>
            <w:tcW w:w="851" w:type="dxa"/>
            <w:tcBorders>
              <w:left w:val="nil"/>
              <w:right w:val="nil"/>
            </w:tcBorders>
          </w:tcPr>
          <w:p w14:paraId="40F7B44F" w14:textId="77777777" w:rsidR="00D43DC8" w:rsidRDefault="00D43DC8">
            <w:pPr>
              <w:spacing w:before="120" w:after="120"/>
              <w:jc w:val="center"/>
              <w:rPr>
                <w:rFonts w:ascii="Arial" w:hAnsi="Arial" w:cs="Arial"/>
                <w:sz w:val="18"/>
              </w:rPr>
            </w:pPr>
            <w:r>
              <w:rPr>
                <w:rFonts w:ascii="Arial" w:hAnsi="Arial" w:cs="Arial"/>
                <w:sz w:val="18"/>
              </w:rPr>
              <w:t>90</w:t>
            </w:r>
          </w:p>
        </w:tc>
        <w:tc>
          <w:tcPr>
            <w:tcW w:w="851" w:type="dxa"/>
            <w:tcBorders>
              <w:left w:val="nil"/>
              <w:right w:val="nil"/>
            </w:tcBorders>
          </w:tcPr>
          <w:p w14:paraId="79CD10F0" w14:textId="77777777" w:rsidR="00D43DC8" w:rsidRDefault="00D43DC8">
            <w:pPr>
              <w:spacing w:before="120" w:after="120"/>
              <w:jc w:val="center"/>
              <w:rPr>
                <w:rFonts w:ascii="Arial" w:hAnsi="Arial" w:cs="Arial"/>
                <w:sz w:val="18"/>
              </w:rPr>
            </w:pPr>
            <w:r>
              <w:rPr>
                <w:rFonts w:ascii="Arial" w:hAnsi="Arial" w:cs="Arial"/>
                <w:sz w:val="18"/>
              </w:rPr>
              <w:t>100</w:t>
            </w:r>
          </w:p>
        </w:tc>
        <w:tc>
          <w:tcPr>
            <w:tcW w:w="851" w:type="dxa"/>
            <w:tcBorders>
              <w:left w:val="nil"/>
            </w:tcBorders>
          </w:tcPr>
          <w:p w14:paraId="4B0FCA03" w14:textId="77777777" w:rsidR="00D43DC8" w:rsidRDefault="00D43DC8">
            <w:pPr>
              <w:spacing w:before="120" w:after="120"/>
              <w:jc w:val="center"/>
              <w:rPr>
                <w:rFonts w:ascii="Arial" w:hAnsi="Arial" w:cs="Arial"/>
                <w:sz w:val="18"/>
              </w:rPr>
            </w:pPr>
            <w:r>
              <w:rPr>
                <w:rFonts w:ascii="Arial" w:hAnsi="Arial" w:cs="Arial"/>
                <w:sz w:val="18"/>
              </w:rPr>
              <w:t>150</w:t>
            </w:r>
          </w:p>
        </w:tc>
      </w:tr>
      <w:tr w:rsidR="00D43DC8" w14:paraId="2B4BB09C" w14:textId="77777777">
        <w:tblPrEx>
          <w:tblCellMar>
            <w:top w:w="0" w:type="dxa"/>
            <w:bottom w:w="0" w:type="dxa"/>
          </w:tblCellMar>
        </w:tblPrEx>
        <w:trPr>
          <w:trHeight w:val="262"/>
        </w:trPr>
        <w:tc>
          <w:tcPr>
            <w:tcW w:w="1418" w:type="dxa"/>
          </w:tcPr>
          <w:p w14:paraId="36AF284E" w14:textId="77777777" w:rsidR="00D43DC8" w:rsidRDefault="00D43DC8">
            <w:pPr>
              <w:spacing w:before="120" w:after="120"/>
              <w:jc w:val="center"/>
              <w:rPr>
                <w:rFonts w:ascii="Arial" w:hAnsi="Arial" w:cs="Arial"/>
                <w:b/>
                <w:sz w:val="18"/>
              </w:rPr>
            </w:pPr>
            <w:r>
              <w:rPr>
                <w:rFonts w:ascii="Arial" w:hAnsi="Arial" w:cs="Arial"/>
                <w:b/>
                <w:sz w:val="18"/>
              </w:rPr>
              <w:t>6</w:t>
            </w:r>
          </w:p>
        </w:tc>
        <w:tc>
          <w:tcPr>
            <w:tcW w:w="851" w:type="dxa"/>
            <w:tcBorders>
              <w:right w:val="nil"/>
            </w:tcBorders>
          </w:tcPr>
          <w:p w14:paraId="78AA0B6E" w14:textId="77777777" w:rsidR="00D43DC8" w:rsidRDefault="00D43DC8">
            <w:pPr>
              <w:spacing w:before="120" w:after="120"/>
              <w:jc w:val="center"/>
              <w:rPr>
                <w:rFonts w:ascii="Arial" w:hAnsi="Arial" w:cs="Arial"/>
                <w:sz w:val="18"/>
              </w:rPr>
            </w:pPr>
            <w:r>
              <w:rPr>
                <w:rFonts w:ascii="Arial" w:hAnsi="Arial" w:cs="Arial"/>
                <w:sz w:val="18"/>
              </w:rPr>
              <w:t>100</w:t>
            </w:r>
          </w:p>
        </w:tc>
        <w:tc>
          <w:tcPr>
            <w:tcW w:w="851" w:type="dxa"/>
            <w:tcBorders>
              <w:left w:val="nil"/>
              <w:right w:val="nil"/>
            </w:tcBorders>
          </w:tcPr>
          <w:p w14:paraId="2E8565A9" w14:textId="77777777" w:rsidR="00D43DC8" w:rsidRDefault="00D43DC8">
            <w:pPr>
              <w:spacing w:before="120" w:after="120"/>
              <w:jc w:val="center"/>
              <w:rPr>
                <w:rFonts w:ascii="Arial" w:hAnsi="Arial" w:cs="Arial"/>
                <w:sz w:val="18"/>
              </w:rPr>
            </w:pPr>
            <w:r>
              <w:rPr>
                <w:rFonts w:ascii="Arial" w:hAnsi="Arial" w:cs="Arial"/>
                <w:sz w:val="18"/>
              </w:rPr>
              <w:t>150</w:t>
            </w:r>
          </w:p>
        </w:tc>
        <w:tc>
          <w:tcPr>
            <w:tcW w:w="851" w:type="dxa"/>
            <w:tcBorders>
              <w:left w:val="nil"/>
              <w:right w:val="nil"/>
            </w:tcBorders>
          </w:tcPr>
          <w:p w14:paraId="4E99D10C" w14:textId="77777777" w:rsidR="00D43DC8" w:rsidRDefault="00D43DC8">
            <w:pPr>
              <w:spacing w:before="120" w:after="120"/>
              <w:jc w:val="center"/>
              <w:rPr>
                <w:rFonts w:ascii="Arial" w:hAnsi="Arial" w:cs="Arial"/>
                <w:sz w:val="18"/>
              </w:rPr>
            </w:pPr>
            <w:r>
              <w:rPr>
                <w:rFonts w:ascii="Arial" w:hAnsi="Arial" w:cs="Arial"/>
                <w:sz w:val="18"/>
              </w:rPr>
              <w:t>200</w:t>
            </w:r>
          </w:p>
        </w:tc>
        <w:tc>
          <w:tcPr>
            <w:tcW w:w="851" w:type="dxa"/>
            <w:tcBorders>
              <w:left w:val="nil"/>
              <w:right w:val="nil"/>
            </w:tcBorders>
          </w:tcPr>
          <w:p w14:paraId="7DF58C3A" w14:textId="77777777" w:rsidR="00D43DC8" w:rsidRDefault="00D43DC8">
            <w:pPr>
              <w:spacing w:before="120" w:after="120"/>
              <w:jc w:val="center"/>
              <w:rPr>
                <w:rFonts w:ascii="Arial" w:hAnsi="Arial" w:cs="Arial"/>
                <w:sz w:val="18"/>
              </w:rPr>
            </w:pPr>
            <w:r>
              <w:rPr>
                <w:rFonts w:ascii="Arial" w:hAnsi="Arial" w:cs="Arial"/>
                <w:sz w:val="18"/>
              </w:rPr>
              <w:t>300</w:t>
            </w:r>
          </w:p>
        </w:tc>
        <w:tc>
          <w:tcPr>
            <w:tcW w:w="851" w:type="dxa"/>
            <w:tcBorders>
              <w:left w:val="nil"/>
              <w:right w:val="nil"/>
            </w:tcBorders>
          </w:tcPr>
          <w:p w14:paraId="5011893A" w14:textId="77777777" w:rsidR="00D43DC8" w:rsidRDefault="00D43DC8">
            <w:pPr>
              <w:spacing w:before="120" w:after="120"/>
              <w:jc w:val="center"/>
              <w:rPr>
                <w:rFonts w:ascii="Arial" w:hAnsi="Arial" w:cs="Arial"/>
                <w:sz w:val="18"/>
              </w:rPr>
            </w:pPr>
          </w:p>
        </w:tc>
        <w:tc>
          <w:tcPr>
            <w:tcW w:w="851" w:type="dxa"/>
            <w:tcBorders>
              <w:left w:val="nil"/>
            </w:tcBorders>
          </w:tcPr>
          <w:p w14:paraId="4BCA4F29" w14:textId="77777777" w:rsidR="00D43DC8" w:rsidRDefault="00D43DC8">
            <w:pPr>
              <w:spacing w:before="120" w:after="120"/>
              <w:jc w:val="center"/>
              <w:rPr>
                <w:rFonts w:ascii="Arial" w:hAnsi="Arial" w:cs="Arial"/>
                <w:sz w:val="18"/>
              </w:rPr>
            </w:pPr>
          </w:p>
        </w:tc>
      </w:tr>
      <w:tr w:rsidR="00D43DC8" w14:paraId="2786B4B1" w14:textId="77777777">
        <w:tblPrEx>
          <w:tblCellMar>
            <w:top w:w="0" w:type="dxa"/>
            <w:bottom w:w="0" w:type="dxa"/>
          </w:tblCellMar>
        </w:tblPrEx>
        <w:trPr>
          <w:trHeight w:val="262"/>
        </w:trPr>
        <w:tc>
          <w:tcPr>
            <w:tcW w:w="1418" w:type="dxa"/>
          </w:tcPr>
          <w:p w14:paraId="11C32CE9" w14:textId="77777777" w:rsidR="00D43DC8" w:rsidRDefault="00D43DC8">
            <w:pPr>
              <w:spacing w:before="120" w:after="120"/>
              <w:jc w:val="center"/>
              <w:rPr>
                <w:rFonts w:ascii="Arial" w:hAnsi="Arial" w:cs="Arial"/>
                <w:b/>
                <w:sz w:val="18"/>
              </w:rPr>
            </w:pPr>
            <w:r>
              <w:rPr>
                <w:rFonts w:ascii="Arial" w:hAnsi="Arial" w:cs="Arial"/>
                <w:b/>
                <w:sz w:val="18"/>
              </w:rPr>
              <w:t>7</w:t>
            </w:r>
          </w:p>
        </w:tc>
        <w:tc>
          <w:tcPr>
            <w:tcW w:w="851" w:type="dxa"/>
            <w:tcBorders>
              <w:right w:val="nil"/>
            </w:tcBorders>
          </w:tcPr>
          <w:p w14:paraId="079EB121" w14:textId="77777777" w:rsidR="00D43DC8" w:rsidRDefault="00D43DC8">
            <w:pPr>
              <w:spacing w:before="120" w:after="120"/>
              <w:jc w:val="center"/>
              <w:rPr>
                <w:rFonts w:ascii="Arial" w:hAnsi="Arial" w:cs="Arial"/>
                <w:sz w:val="18"/>
              </w:rPr>
            </w:pPr>
            <w:r>
              <w:rPr>
                <w:rFonts w:ascii="Arial" w:hAnsi="Arial" w:cs="Arial"/>
                <w:sz w:val="18"/>
              </w:rPr>
              <w:t>200</w:t>
            </w:r>
          </w:p>
        </w:tc>
        <w:tc>
          <w:tcPr>
            <w:tcW w:w="851" w:type="dxa"/>
            <w:tcBorders>
              <w:left w:val="nil"/>
              <w:right w:val="nil"/>
            </w:tcBorders>
          </w:tcPr>
          <w:p w14:paraId="6DFDE13A" w14:textId="77777777" w:rsidR="00D43DC8" w:rsidRDefault="00D43DC8">
            <w:pPr>
              <w:spacing w:before="120" w:after="120"/>
              <w:jc w:val="center"/>
              <w:rPr>
                <w:rFonts w:ascii="Arial" w:hAnsi="Arial" w:cs="Arial"/>
                <w:sz w:val="18"/>
              </w:rPr>
            </w:pPr>
            <w:r>
              <w:rPr>
                <w:rFonts w:ascii="Arial" w:hAnsi="Arial" w:cs="Arial"/>
                <w:sz w:val="18"/>
              </w:rPr>
              <w:t>300</w:t>
            </w:r>
          </w:p>
        </w:tc>
        <w:tc>
          <w:tcPr>
            <w:tcW w:w="851" w:type="dxa"/>
            <w:tcBorders>
              <w:left w:val="nil"/>
              <w:right w:val="nil"/>
            </w:tcBorders>
          </w:tcPr>
          <w:p w14:paraId="3FB66EA6" w14:textId="77777777" w:rsidR="00D43DC8" w:rsidRDefault="00D43DC8">
            <w:pPr>
              <w:spacing w:before="120" w:after="120"/>
              <w:jc w:val="center"/>
              <w:rPr>
                <w:rFonts w:ascii="Arial" w:hAnsi="Arial" w:cs="Arial"/>
                <w:sz w:val="18"/>
              </w:rPr>
            </w:pPr>
            <w:r>
              <w:rPr>
                <w:rFonts w:ascii="Arial" w:hAnsi="Arial" w:cs="Arial"/>
                <w:sz w:val="18"/>
              </w:rPr>
              <w:t>400</w:t>
            </w:r>
          </w:p>
        </w:tc>
        <w:tc>
          <w:tcPr>
            <w:tcW w:w="851" w:type="dxa"/>
            <w:tcBorders>
              <w:left w:val="nil"/>
              <w:right w:val="nil"/>
            </w:tcBorders>
          </w:tcPr>
          <w:p w14:paraId="54BFA474" w14:textId="77777777" w:rsidR="00D43DC8" w:rsidRDefault="00D43DC8">
            <w:pPr>
              <w:spacing w:before="120" w:after="120"/>
              <w:jc w:val="center"/>
              <w:rPr>
                <w:rFonts w:ascii="Arial" w:hAnsi="Arial" w:cs="Arial"/>
                <w:sz w:val="18"/>
              </w:rPr>
            </w:pPr>
            <w:r>
              <w:rPr>
                <w:rFonts w:ascii="Arial" w:hAnsi="Arial" w:cs="Arial"/>
                <w:sz w:val="18"/>
              </w:rPr>
              <w:t>500</w:t>
            </w:r>
          </w:p>
        </w:tc>
        <w:tc>
          <w:tcPr>
            <w:tcW w:w="851" w:type="dxa"/>
            <w:tcBorders>
              <w:left w:val="nil"/>
              <w:right w:val="nil"/>
            </w:tcBorders>
          </w:tcPr>
          <w:p w14:paraId="5714E149" w14:textId="77777777" w:rsidR="00D43DC8" w:rsidRDefault="00D43DC8">
            <w:pPr>
              <w:spacing w:before="120" w:after="120"/>
              <w:jc w:val="center"/>
              <w:rPr>
                <w:rFonts w:ascii="Arial" w:hAnsi="Arial" w:cs="Arial"/>
                <w:sz w:val="18"/>
              </w:rPr>
            </w:pPr>
          </w:p>
        </w:tc>
        <w:tc>
          <w:tcPr>
            <w:tcW w:w="851" w:type="dxa"/>
            <w:tcBorders>
              <w:left w:val="nil"/>
            </w:tcBorders>
          </w:tcPr>
          <w:p w14:paraId="5713A3FB" w14:textId="77777777" w:rsidR="00D43DC8" w:rsidRDefault="00D43DC8">
            <w:pPr>
              <w:spacing w:before="120" w:after="120"/>
              <w:jc w:val="center"/>
              <w:rPr>
                <w:rFonts w:ascii="Arial" w:hAnsi="Arial" w:cs="Arial"/>
                <w:sz w:val="18"/>
              </w:rPr>
            </w:pPr>
          </w:p>
        </w:tc>
      </w:tr>
      <w:tr w:rsidR="00D43DC8" w14:paraId="2FC1B018" w14:textId="77777777">
        <w:tblPrEx>
          <w:tblCellMar>
            <w:top w:w="0" w:type="dxa"/>
            <w:bottom w:w="0" w:type="dxa"/>
          </w:tblCellMar>
        </w:tblPrEx>
        <w:trPr>
          <w:trHeight w:val="262"/>
        </w:trPr>
        <w:tc>
          <w:tcPr>
            <w:tcW w:w="1418" w:type="dxa"/>
          </w:tcPr>
          <w:p w14:paraId="75CEC257" w14:textId="77777777" w:rsidR="00D43DC8" w:rsidRDefault="00D43DC8">
            <w:pPr>
              <w:spacing w:before="120" w:after="120"/>
              <w:jc w:val="center"/>
              <w:rPr>
                <w:rFonts w:ascii="Arial" w:hAnsi="Arial" w:cs="Arial"/>
                <w:b/>
                <w:sz w:val="18"/>
              </w:rPr>
            </w:pPr>
            <w:r>
              <w:rPr>
                <w:rFonts w:ascii="Arial" w:hAnsi="Arial" w:cs="Arial"/>
                <w:b/>
                <w:sz w:val="18"/>
              </w:rPr>
              <w:t>8</w:t>
            </w:r>
          </w:p>
        </w:tc>
        <w:tc>
          <w:tcPr>
            <w:tcW w:w="851" w:type="dxa"/>
            <w:tcBorders>
              <w:right w:val="nil"/>
            </w:tcBorders>
          </w:tcPr>
          <w:p w14:paraId="18026DDB" w14:textId="77777777" w:rsidR="00D43DC8" w:rsidRDefault="00D43DC8">
            <w:pPr>
              <w:spacing w:before="120" w:after="120"/>
              <w:jc w:val="center"/>
              <w:rPr>
                <w:rFonts w:ascii="Arial" w:hAnsi="Arial" w:cs="Arial"/>
                <w:sz w:val="18"/>
              </w:rPr>
            </w:pPr>
            <w:r>
              <w:rPr>
                <w:rFonts w:ascii="Arial" w:hAnsi="Arial" w:cs="Arial"/>
                <w:sz w:val="18"/>
              </w:rPr>
              <w:t>500</w:t>
            </w:r>
          </w:p>
        </w:tc>
        <w:tc>
          <w:tcPr>
            <w:tcW w:w="851" w:type="dxa"/>
            <w:tcBorders>
              <w:left w:val="nil"/>
              <w:right w:val="nil"/>
            </w:tcBorders>
          </w:tcPr>
          <w:p w14:paraId="303D33EA" w14:textId="77777777" w:rsidR="00D43DC8" w:rsidRDefault="00D43DC8">
            <w:pPr>
              <w:spacing w:before="120" w:after="120"/>
              <w:jc w:val="center"/>
              <w:rPr>
                <w:rFonts w:ascii="Arial" w:hAnsi="Arial" w:cs="Arial"/>
                <w:sz w:val="18"/>
              </w:rPr>
            </w:pPr>
            <w:r>
              <w:rPr>
                <w:rFonts w:ascii="Arial" w:hAnsi="Arial" w:cs="Arial"/>
                <w:sz w:val="18"/>
              </w:rPr>
              <w:t>600</w:t>
            </w:r>
          </w:p>
        </w:tc>
        <w:tc>
          <w:tcPr>
            <w:tcW w:w="851" w:type="dxa"/>
            <w:tcBorders>
              <w:left w:val="nil"/>
              <w:right w:val="nil"/>
            </w:tcBorders>
          </w:tcPr>
          <w:p w14:paraId="36FD6B2E" w14:textId="77777777" w:rsidR="00D43DC8" w:rsidRDefault="00D43DC8">
            <w:pPr>
              <w:spacing w:before="120" w:after="120"/>
              <w:jc w:val="center"/>
              <w:rPr>
                <w:rFonts w:ascii="Arial" w:hAnsi="Arial" w:cs="Arial"/>
                <w:sz w:val="18"/>
              </w:rPr>
            </w:pPr>
            <w:r>
              <w:rPr>
                <w:rFonts w:ascii="Arial" w:hAnsi="Arial" w:cs="Arial"/>
                <w:sz w:val="18"/>
              </w:rPr>
              <w:t>800</w:t>
            </w:r>
          </w:p>
        </w:tc>
        <w:tc>
          <w:tcPr>
            <w:tcW w:w="851" w:type="dxa"/>
            <w:tcBorders>
              <w:left w:val="nil"/>
              <w:right w:val="nil"/>
            </w:tcBorders>
          </w:tcPr>
          <w:p w14:paraId="33058F04" w14:textId="77777777" w:rsidR="00D43DC8" w:rsidRDefault="00D43DC8">
            <w:pPr>
              <w:spacing w:before="120" w:after="120"/>
              <w:jc w:val="center"/>
              <w:rPr>
                <w:rFonts w:ascii="Arial" w:hAnsi="Arial" w:cs="Arial"/>
                <w:sz w:val="18"/>
              </w:rPr>
            </w:pPr>
            <w:r>
              <w:rPr>
                <w:rFonts w:ascii="Arial" w:hAnsi="Arial" w:cs="Arial"/>
                <w:sz w:val="18"/>
              </w:rPr>
              <w:t>1000</w:t>
            </w:r>
          </w:p>
        </w:tc>
        <w:tc>
          <w:tcPr>
            <w:tcW w:w="851" w:type="dxa"/>
            <w:tcBorders>
              <w:left w:val="nil"/>
              <w:right w:val="nil"/>
            </w:tcBorders>
          </w:tcPr>
          <w:p w14:paraId="774C54FB" w14:textId="77777777" w:rsidR="00D43DC8" w:rsidRDefault="00D43DC8">
            <w:pPr>
              <w:spacing w:before="120" w:after="120"/>
              <w:jc w:val="center"/>
              <w:rPr>
                <w:rFonts w:ascii="Arial" w:hAnsi="Arial" w:cs="Arial"/>
                <w:sz w:val="18"/>
              </w:rPr>
            </w:pPr>
          </w:p>
        </w:tc>
        <w:tc>
          <w:tcPr>
            <w:tcW w:w="851" w:type="dxa"/>
            <w:tcBorders>
              <w:left w:val="nil"/>
            </w:tcBorders>
          </w:tcPr>
          <w:p w14:paraId="46651ACB" w14:textId="77777777" w:rsidR="00D43DC8" w:rsidRDefault="00D43DC8">
            <w:pPr>
              <w:spacing w:before="120" w:after="120"/>
              <w:jc w:val="center"/>
              <w:rPr>
                <w:rFonts w:ascii="Arial" w:hAnsi="Arial" w:cs="Arial"/>
                <w:sz w:val="18"/>
              </w:rPr>
            </w:pPr>
          </w:p>
        </w:tc>
      </w:tr>
    </w:tbl>
    <w:p w14:paraId="348D5419" w14:textId="77777777" w:rsidR="00D43DC8" w:rsidRDefault="00D43DC8">
      <w:pPr>
        <w:pStyle w:val="TableData"/>
      </w:pPr>
      <w:r>
        <w:tab/>
      </w:r>
    </w:p>
    <w:p w14:paraId="2CE01295" w14:textId="77777777" w:rsidR="00D43DC8" w:rsidRDefault="00D43DC8">
      <w:pPr>
        <w:pStyle w:val="Heading2"/>
        <w:rPr>
          <w:bCs w:val="0"/>
        </w:rPr>
      </w:pPr>
      <w:r>
        <w:rPr>
          <w:bCs w:val="0"/>
        </w:rPr>
        <w:t>We charge you the following for movements between adjacent bands.  We charge you multiple change charges for movements between non-adjacent bands.  Changes within a band do not incur a change charge; only a change in the monthly charges set out above.</w:t>
      </w:r>
    </w:p>
    <w:p w14:paraId="2B35AD41" w14:textId="77777777" w:rsidR="00D43DC8" w:rsidRDefault="00D43DC8">
      <w:pPr>
        <w:pStyle w:val="Heading7"/>
        <w:ind w:left="737"/>
      </w:pPr>
      <w:r>
        <w:t>For example, for a change from band 5 to band 7, we charge you two link bandwidth change charges (band 5 to band 6, plus band 6 to band 7).</w:t>
      </w:r>
    </w:p>
    <w:tbl>
      <w:tblPr>
        <w:tblW w:w="7088" w:type="dxa"/>
        <w:tblInd w:w="659" w:type="dxa"/>
        <w:tblLayout w:type="fixed"/>
        <w:tblCellMar>
          <w:left w:w="30" w:type="dxa"/>
          <w:right w:w="30" w:type="dxa"/>
        </w:tblCellMar>
        <w:tblLook w:val="0000" w:firstRow="0" w:lastRow="0" w:firstColumn="0" w:lastColumn="0" w:noHBand="0" w:noVBand="0"/>
      </w:tblPr>
      <w:tblGrid>
        <w:gridCol w:w="5670"/>
        <w:gridCol w:w="1418"/>
      </w:tblGrid>
      <w:tr w:rsidR="00D43DC8" w14:paraId="0FBAC674" w14:textId="77777777">
        <w:tblPrEx>
          <w:tblCellMar>
            <w:top w:w="0" w:type="dxa"/>
            <w:bottom w:w="0" w:type="dxa"/>
          </w:tblCellMar>
        </w:tblPrEx>
        <w:trPr>
          <w:trHeight w:val="247"/>
          <w:tblHeader/>
        </w:trPr>
        <w:tc>
          <w:tcPr>
            <w:tcW w:w="5670" w:type="dxa"/>
            <w:tcBorders>
              <w:top w:val="single" w:sz="6" w:space="0" w:color="auto"/>
              <w:left w:val="single" w:sz="6" w:space="0" w:color="auto"/>
              <w:bottom w:val="single" w:sz="6" w:space="0" w:color="auto"/>
              <w:right w:val="single" w:sz="6" w:space="0" w:color="auto"/>
            </w:tcBorders>
          </w:tcPr>
          <w:p w14:paraId="45446942" w14:textId="77777777" w:rsidR="00D43DC8" w:rsidRDefault="00D43DC8" w:rsidP="00EC226F">
            <w:pPr>
              <w:pStyle w:val="TableHead"/>
              <w:keepNext/>
              <w:spacing w:before="120" w:after="120"/>
              <w:ind w:left="146"/>
              <w:rPr>
                <w:rFonts w:cs="Arial"/>
                <w:bCs/>
                <w:snapToGrid w:val="0"/>
              </w:rPr>
            </w:pPr>
            <w:r>
              <w:rPr>
                <w:rFonts w:cs="Arial"/>
                <w:bCs/>
              </w:rPr>
              <w:t>Link bandwidth change charges</w:t>
            </w:r>
          </w:p>
        </w:tc>
        <w:tc>
          <w:tcPr>
            <w:tcW w:w="1418" w:type="dxa"/>
            <w:tcBorders>
              <w:top w:val="single" w:sz="6" w:space="0" w:color="auto"/>
              <w:left w:val="single" w:sz="6" w:space="0" w:color="auto"/>
              <w:bottom w:val="single" w:sz="6" w:space="0" w:color="auto"/>
              <w:right w:val="single" w:sz="6" w:space="0" w:color="auto"/>
            </w:tcBorders>
          </w:tcPr>
          <w:p w14:paraId="6C86F03A" w14:textId="77777777" w:rsidR="00D43DC8" w:rsidRDefault="00D43DC8" w:rsidP="00EC226F">
            <w:pPr>
              <w:pStyle w:val="TableHead"/>
              <w:keepNext/>
              <w:spacing w:before="120" w:after="120"/>
              <w:ind w:left="111" w:right="97"/>
              <w:rPr>
                <w:rFonts w:cs="Arial"/>
                <w:snapToGrid w:val="0"/>
              </w:rPr>
            </w:pPr>
            <w:r>
              <w:rPr>
                <w:rFonts w:cs="Arial"/>
                <w:snapToGrid w:val="0"/>
              </w:rPr>
              <w:t>GST excl.</w:t>
            </w:r>
          </w:p>
        </w:tc>
      </w:tr>
      <w:tr w:rsidR="00D43DC8" w14:paraId="6B129344" w14:textId="77777777">
        <w:tblPrEx>
          <w:tblCellMar>
            <w:top w:w="0" w:type="dxa"/>
            <w:bottom w:w="0" w:type="dxa"/>
          </w:tblCellMar>
        </w:tblPrEx>
        <w:trPr>
          <w:trHeight w:val="247"/>
        </w:trPr>
        <w:tc>
          <w:tcPr>
            <w:tcW w:w="5670" w:type="dxa"/>
            <w:tcBorders>
              <w:top w:val="single" w:sz="6" w:space="0" w:color="auto"/>
              <w:left w:val="single" w:sz="6" w:space="0" w:color="auto"/>
              <w:bottom w:val="single" w:sz="6" w:space="0" w:color="auto"/>
              <w:right w:val="single" w:sz="6" w:space="0" w:color="auto"/>
            </w:tcBorders>
          </w:tcPr>
          <w:p w14:paraId="0B5BFA7B" w14:textId="77777777" w:rsidR="00D43DC8" w:rsidRDefault="00D43DC8" w:rsidP="00EC226F">
            <w:pPr>
              <w:spacing w:before="120" w:after="120"/>
              <w:ind w:left="146"/>
              <w:rPr>
                <w:rFonts w:ascii="Arial" w:hAnsi="Arial" w:cs="Arial"/>
                <w:snapToGrid w:val="0"/>
                <w:sz w:val="18"/>
              </w:rPr>
            </w:pPr>
            <w:r>
              <w:rPr>
                <w:rFonts w:ascii="Arial" w:hAnsi="Arial" w:cs="Arial"/>
                <w:snapToGrid w:val="0"/>
                <w:sz w:val="18"/>
              </w:rPr>
              <w:t>For one or more link bandwidth change requests we receive directly at the same time (not requested using bandwidth-on-demand dial)</w:t>
            </w:r>
          </w:p>
        </w:tc>
        <w:tc>
          <w:tcPr>
            <w:tcW w:w="1418" w:type="dxa"/>
            <w:tcBorders>
              <w:top w:val="single" w:sz="6" w:space="0" w:color="auto"/>
              <w:left w:val="single" w:sz="6" w:space="0" w:color="auto"/>
              <w:bottom w:val="single" w:sz="6" w:space="0" w:color="auto"/>
              <w:right w:val="single" w:sz="6" w:space="0" w:color="auto"/>
            </w:tcBorders>
          </w:tcPr>
          <w:p w14:paraId="62A4E5D9" w14:textId="77777777" w:rsidR="00D43DC8" w:rsidRDefault="00D43DC8" w:rsidP="00EC226F">
            <w:pPr>
              <w:spacing w:before="120" w:after="120"/>
              <w:ind w:left="111" w:right="97"/>
              <w:jc w:val="right"/>
              <w:rPr>
                <w:rFonts w:ascii="Arial" w:hAnsi="Arial" w:cs="Arial"/>
                <w:b/>
                <w:bCs/>
                <w:snapToGrid w:val="0"/>
                <w:sz w:val="18"/>
              </w:rPr>
            </w:pPr>
          </w:p>
        </w:tc>
      </w:tr>
      <w:tr w:rsidR="00D43DC8" w14:paraId="06E13370" w14:textId="77777777">
        <w:tblPrEx>
          <w:tblCellMar>
            <w:top w:w="0" w:type="dxa"/>
            <w:bottom w:w="0" w:type="dxa"/>
          </w:tblCellMar>
        </w:tblPrEx>
        <w:trPr>
          <w:trHeight w:val="247"/>
        </w:trPr>
        <w:tc>
          <w:tcPr>
            <w:tcW w:w="5670" w:type="dxa"/>
            <w:tcBorders>
              <w:top w:val="single" w:sz="6" w:space="0" w:color="auto"/>
              <w:left w:val="single" w:sz="6" w:space="0" w:color="auto"/>
              <w:bottom w:val="single" w:sz="6" w:space="0" w:color="auto"/>
              <w:right w:val="single" w:sz="6" w:space="0" w:color="auto"/>
            </w:tcBorders>
          </w:tcPr>
          <w:p w14:paraId="42A884F3" w14:textId="77777777" w:rsidR="00D43DC8" w:rsidRDefault="00D43DC8" w:rsidP="00EC226F">
            <w:pPr>
              <w:pStyle w:val="TableData"/>
              <w:ind w:left="146"/>
              <w:rPr>
                <w:rFonts w:cs="Arial"/>
                <w:snapToGrid w:val="0"/>
              </w:rPr>
            </w:pPr>
            <w:r>
              <w:rPr>
                <w:rFonts w:cs="Arial"/>
                <w:snapToGrid w:val="0"/>
              </w:rPr>
              <w:t>- for Ethernet MAN single uplink</w:t>
            </w:r>
          </w:p>
        </w:tc>
        <w:tc>
          <w:tcPr>
            <w:tcW w:w="1418" w:type="dxa"/>
            <w:tcBorders>
              <w:top w:val="single" w:sz="6" w:space="0" w:color="auto"/>
              <w:left w:val="single" w:sz="6" w:space="0" w:color="auto"/>
              <w:bottom w:val="single" w:sz="6" w:space="0" w:color="auto"/>
              <w:right w:val="single" w:sz="6" w:space="0" w:color="auto"/>
            </w:tcBorders>
          </w:tcPr>
          <w:p w14:paraId="560131D2" w14:textId="77777777" w:rsidR="00D43DC8" w:rsidRDefault="00D43DC8" w:rsidP="00EC226F">
            <w:pPr>
              <w:spacing w:before="120" w:after="120"/>
              <w:ind w:left="111" w:right="97"/>
              <w:jc w:val="right"/>
              <w:rPr>
                <w:rFonts w:ascii="Arial" w:hAnsi="Arial" w:cs="Arial"/>
                <w:b/>
                <w:bCs/>
                <w:snapToGrid w:val="0"/>
                <w:sz w:val="18"/>
              </w:rPr>
            </w:pPr>
            <w:r>
              <w:rPr>
                <w:rFonts w:ascii="Arial" w:hAnsi="Arial" w:cs="Arial"/>
                <w:b/>
                <w:bCs/>
                <w:snapToGrid w:val="0"/>
                <w:sz w:val="18"/>
              </w:rPr>
              <w:t>$1000.00</w:t>
            </w:r>
          </w:p>
        </w:tc>
      </w:tr>
      <w:tr w:rsidR="00D43DC8" w14:paraId="0AE08633" w14:textId="77777777">
        <w:tblPrEx>
          <w:tblCellMar>
            <w:top w:w="0" w:type="dxa"/>
            <w:bottom w:w="0" w:type="dxa"/>
          </w:tblCellMar>
        </w:tblPrEx>
        <w:trPr>
          <w:trHeight w:val="247"/>
        </w:trPr>
        <w:tc>
          <w:tcPr>
            <w:tcW w:w="5670" w:type="dxa"/>
            <w:tcBorders>
              <w:top w:val="single" w:sz="6" w:space="0" w:color="auto"/>
              <w:left w:val="single" w:sz="6" w:space="0" w:color="auto"/>
              <w:bottom w:val="single" w:sz="6" w:space="0" w:color="auto"/>
              <w:right w:val="single" w:sz="6" w:space="0" w:color="auto"/>
            </w:tcBorders>
          </w:tcPr>
          <w:p w14:paraId="087F039E" w14:textId="77777777" w:rsidR="00D43DC8" w:rsidRDefault="00D43DC8" w:rsidP="00EC226F">
            <w:pPr>
              <w:pStyle w:val="TableData"/>
              <w:ind w:left="146"/>
              <w:rPr>
                <w:rFonts w:cs="Arial"/>
                <w:snapToGrid w:val="0"/>
              </w:rPr>
            </w:pPr>
            <w:r>
              <w:rPr>
                <w:rFonts w:cs="Arial"/>
                <w:snapToGrid w:val="0"/>
              </w:rPr>
              <w:t>- for Ethernet MAN dual uplink or Ethernet MAN fully redundant connection</w:t>
            </w:r>
          </w:p>
        </w:tc>
        <w:tc>
          <w:tcPr>
            <w:tcW w:w="1418" w:type="dxa"/>
            <w:tcBorders>
              <w:top w:val="single" w:sz="6" w:space="0" w:color="auto"/>
              <w:left w:val="single" w:sz="6" w:space="0" w:color="auto"/>
              <w:bottom w:val="single" w:sz="6" w:space="0" w:color="auto"/>
              <w:right w:val="single" w:sz="6" w:space="0" w:color="auto"/>
            </w:tcBorders>
          </w:tcPr>
          <w:p w14:paraId="0BBA7328" w14:textId="77777777" w:rsidR="00D43DC8" w:rsidRDefault="00D43DC8" w:rsidP="00EC226F">
            <w:pPr>
              <w:spacing w:before="120" w:after="120"/>
              <w:ind w:left="111" w:right="97"/>
              <w:jc w:val="right"/>
              <w:rPr>
                <w:rFonts w:ascii="Arial" w:hAnsi="Arial" w:cs="Arial"/>
                <w:b/>
                <w:bCs/>
                <w:snapToGrid w:val="0"/>
                <w:sz w:val="18"/>
              </w:rPr>
            </w:pPr>
            <w:r>
              <w:rPr>
                <w:rFonts w:ascii="Arial" w:hAnsi="Arial" w:cs="Arial"/>
                <w:b/>
                <w:bCs/>
                <w:snapToGrid w:val="0"/>
                <w:sz w:val="18"/>
              </w:rPr>
              <w:t>$100.00</w:t>
            </w:r>
          </w:p>
        </w:tc>
      </w:tr>
      <w:tr w:rsidR="00D43DC8" w14:paraId="04364C54" w14:textId="77777777">
        <w:tblPrEx>
          <w:tblCellMar>
            <w:top w:w="0" w:type="dxa"/>
            <w:bottom w:w="0" w:type="dxa"/>
          </w:tblCellMar>
        </w:tblPrEx>
        <w:trPr>
          <w:trHeight w:val="247"/>
        </w:trPr>
        <w:tc>
          <w:tcPr>
            <w:tcW w:w="5670" w:type="dxa"/>
            <w:tcBorders>
              <w:top w:val="single" w:sz="6" w:space="0" w:color="auto"/>
              <w:left w:val="single" w:sz="6" w:space="0" w:color="auto"/>
              <w:bottom w:val="single" w:sz="6" w:space="0" w:color="auto"/>
              <w:right w:val="single" w:sz="6" w:space="0" w:color="auto"/>
            </w:tcBorders>
          </w:tcPr>
          <w:p w14:paraId="6288FCA3" w14:textId="77777777" w:rsidR="00D43DC8" w:rsidRDefault="00D43DC8" w:rsidP="00EC226F">
            <w:pPr>
              <w:spacing w:before="120" w:after="120"/>
              <w:ind w:left="146"/>
              <w:rPr>
                <w:rFonts w:ascii="Arial" w:hAnsi="Arial" w:cs="Arial"/>
                <w:snapToGrid w:val="0"/>
                <w:sz w:val="18"/>
              </w:rPr>
            </w:pPr>
            <w:r>
              <w:rPr>
                <w:rFonts w:ascii="Arial" w:hAnsi="Arial" w:cs="Arial"/>
                <w:b/>
                <w:bCs/>
                <w:snapToGrid w:val="0"/>
                <w:sz w:val="18"/>
              </w:rPr>
              <w:t>Ethernet MAN dual uplink or Ethernet MAN fully redundant connection</w:t>
            </w:r>
            <w:r>
              <w:rPr>
                <w:rFonts w:ascii="Arial" w:hAnsi="Arial" w:cs="Arial"/>
                <w:snapToGrid w:val="0"/>
                <w:sz w:val="18"/>
              </w:rPr>
              <w:t xml:space="preserve"> – for each individual link bandwidth change request that you make using bandwidth-on-demand dial (or change that we make in addition to the link bandwidth charge above):</w:t>
            </w:r>
          </w:p>
        </w:tc>
        <w:tc>
          <w:tcPr>
            <w:tcW w:w="1418" w:type="dxa"/>
            <w:tcBorders>
              <w:top w:val="single" w:sz="6" w:space="0" w:color="auto"/>
              <w:left w:val="single" w:sz="6" w:space="0" w:color="auto"/>
              <w:bottom w:val="single" w:sz="6" w:space="0" w:color="auto"/>
              <w:right w:val="single" w:sz="6" w:space="0" w:color="auto"/>
            </w:tcBorders>
          </w:tcPr>
          <w:p w14:paraId="3C50D634" w14:textId="77777777" w:rsidR="00D43DC8" w:rsidRDefault="00D43DC8" w:rsidP="00EC226F">
            <w:pPr>
              <w:spacing w:before="120" w:after="120"/>
              <w:ind w:left="111" w:right="97"/>
              <w:jc w:val="right"/>
              <w:rPr>
                <w:rFonts w:ascii="Arial" w:hAnsi="Arial" w:cs="Arial"/>
                <w:b/>
                <w:bCs/>
                <w:snapToGrid w:val="0"/>
                <w:sz w:val="18"/>
              </w:rPr>
            </w:pPr>
          </w:p>
        </w:tc>
      </w:tr>
      <w:tr w:rsidR="00D43DC8" w14:paraId="325E94A0" w14:textId="77777777">
        <w:tblPrEx>
          <w:tblCellMar>
            <w:top w:w="0" w:type="dxa"/>
            <w:bottom w:w="0" w:type="dxa"/>
          </w:tblCellMar>
        </w:tblPrEx>
        <w:trPr>
          <w:trHeight w:val="247"/>
        </w:trPr>
        <w:tc>
          <w:tcPr>
            <w:tcW w:w="5670" w:type="dxa"/>
            <w:tcBorders>
              <w:top w:val="single" w:sz="6" w:space="0" w:color="auto"/>
              <w:left w:val="single" w:sz="6" w:space="0" w:color="auto"/>
              <w:bottom w:val="single" w:sz="6" w:space="0" w:color="auto"/>
              <w:right w:val="single" w:sz="6" w:space="0" w:color="auto"/>
            </w:tcBorders>
          </w:tcPr>
          <w:p w14:paraId="321AF846" w14:textId="77777777" w:rsidR="00D43DC8" w:rsidRDefault="00D43DC8" w:rsidP="00EC226F">
            <w:pPr>
              <w:pStyle w:val="NormalIndent"/>
              <w:numPr>
                <w:ilvl w:val="0"/>
                <w:numId w:val="4"/>
              </w:numPr>
              <w:spacing w:before="120" w:after="120"/>
              <w:ind w:left="146" w:firstLine="0"/>
              <w:rPr>
                <w:rFonts w:ascii="Arial" w:hAnsi="Arial" w:cs="Arial"/>
                <w:snapToGrid w:val="0"/>
                <w:sz w:val="18"/>
              </w:rPr>
            </w:pPr>
            <w:r>
              <w:rPr>
                <w:rFonts w:ascii="Arial" w:hAnsi="Arial" w:cs="Arial"/>
                <w:snapToGrid w:val="0"/>
                <w:sz w:val="18"/>
              </w:rPr>
              <w:t>Changes between adjacent bands in bands 1 to 5:</w:t>
            </w:r>
          </w:p>
        </w:tc>
        <w:tc>
          <w:tcPr>
            <w:tcW w:w="1418" w:type="dxa"/>
            <w:tcBorders>
              <w:top w:val="single" w:sz="6" w:space="0" w:color="auto"/>
              <w:left w:val="single" w:sz="6" w:space="0" w:color="auto"/>
              <w:bottom w:val="single" w:sz="4" w:space="0" w:color="auto"/>
              <w:right w:val="single" w:sz="6" w:space="0" w:color="auto"/>
            </w:tcBorders>
          </w:tcPr>
          <w:p w14:paraId="4FB37364" w14:textId="77777777" w:rsidR="00D43DC8" w:rsidRDefault="00D43DC8" w:rsidP="00EC226F">
            <w:pPr>
              <w:spacing w:before="120" w:after="120"/>
              <w:ind w:left="111" w:right="97"/>
              <w:jc w:val="right"/>
              <w:rPr>
                <w:rFonts w:ascii="Arial" w:hAnsi="Arial" w:cs="Arial"/>
                <w:b/>
                <w:bCs/>
                <w:snapToGrid w:val="0"/>
                <w:sz w:val="18"/>
              </w:rPr>
            </w:pPr>
            <w:r>
              <w:rPr>
                <w:rFonts w:ascii="Arial" w:hAnsi="Arial" w:cs="Arial"/>
                <w:b/>
                <w:bCs/>
                <w:snapToGrid w:val="0"/>
                <w:sz w:val="18"/>
              </w:rPr>
              <w:t>nil</w:t>
            </w:r>
          </w:p>
        </w:tc>
      </w:tr>
      <w:tr w:rsidR="00D43DC8" w14:paraId="53452E66" w14:textId="77777777">
        <w:tblPrEx>
          <w:tblCellMar>
            <w:top w:w="0" w:type="dxa"/>
            <w:bottom w:w="0" w:type="dxa"/>
          </w:tblCellMar>
        </w:tblPrEx>
        <w:trPr>
          <w:trHeight w:val="247"/>
        </w:trPr>
        <w:tc>
          <w:tcPr>
            <w:tcW w:w="5670" w:type="dxa"/>
            <w:tcBorders>
              <w:top w:val="single" w:sz="6" w:space="0" w:color="auto"/>
              <w:left w:val="single" w:sz="6" w:space="0" w:color="auto"/>
              <w:bottom w:val="single" w:sz="6" w:space="0" w:color="auto"/>
              <w:right w:val="single" w:sz="6" w:space="0" w:color="auto"/>
            </w:tcBorders>
          </w:tcPr>
          <w:p w14:paraId="71789B09" w14:textId="77777777" w:rsidR="00D43DC8" w:rsidRDefault="00D43DC8" w:rsidP="00EC226F">
            <w:pPr>
              <w:pStyle w:val="NormalIndent"/>
              <w:numPr>
                <w:ilvl w:val="0"/>
                <w:numId w:val="4"/>
              </w:numPr>
              <w:spacing w:before="120" w:after="120"/>
              <w:ind w:left="146" w:firstLine="0"/>
              <w:rPr>
                <w:rFonts w:ascii="Arial" w:hAnsi="Arial" w:cs="Arial"/>
                <w:snapToGrid w:val="0"/>
                <w:sz w:val="18"/>
              </w:rPr>
            </w:pPr>
            <w:r>
              <w:rPr>
                <w:rFonts w:ascii="Arial" w:hAnsi="Arial" w:cs="Arial"/>
                <w:snapToGrid w:val="0"/>
                <w:sz w:val="18"/>
              </w:rPr>
              <w:t>Changes between adjacent bands in bands 5 to 6:</w:t>
            </w:r>
          </w:p>
        </w:tc>
        <w:tc>
          <w:tcPr>
            <w:tcW w:w="1418" w:type="dxa"/>
            <w:tcBorders>
              <w:top w:val="single" w:sz="6" w:space="0" w:color="auto"/>
              <w:left w:val="single" w:sz="6" w:space="0" w:color="auto"/>
              <w:bottom w:val="single" w:sz="4" w:space="0" w:color="auto"/>
              <w:right w:val="single" w:sz="6" w:space="0" w:color="auto"/>
            </w:tcBorders>
          </w:tcPr>
          <w:p w14:paraId="3AE08B1A" w14:textId="77777777" w:rsidR="00D43DC8" w:rsidRDefault="00D43DC8" w:rsidP="00EC226F">
            <w:pPr>
              <w:spacing w:before="120" w:after="120"/>
              <w:ind w:left="111" w:right="97"/>
              <w:jc w:val="right"/>
              <w:rPr>
                <w:rFonts w:ascii="Arial" w:hAnsi="Arial" w:cs="Arial"/>
                <w:b/>
                <w:bCs/>
                <w:snapToGrid w:val="0"/>
                <w:sz w:val="18"/>
              </w:rPr>
            </w:pPr>
            <w:r>
              <w:rPr>
                <w:rFonts w:ascii="Arial" w:hAnsi="Arial" w:cs="Arial"/>
                <w:b/>
                <w:bCs/>
                <w:snapToGrid w:val="0"/>
                <w:sz w:val="18"/>
              </w:rPr>
              <w:t>$50.00</w:t>
            </w:r>
          </w:p>
        </w:tc>
      </w:tr>
      <w:tr w:rsidR="00D43DC8" w14:paraId="1629100B" w14:textId="77777777">
        <w:tblPrEx>
          <w:tblCellMar>
            <w:top w:w="0" w:type="dxa"/>
            <w:bottom w:w="0" w:type="dxa"/>
          </w:tblCellMar>
        </w:tblPrEx>
        <w:trPr>
          <w:trHeight w:val="247"/>
        </w:trPr>
        <w:tc>
          <w:tcPr>
            <w:tcW w:w="5670" w:type="dxa"/>
            <w:tcBorders>
              <w:top w:val="single" w:sz="6" w:space="0" w:color="auto"/>
              <w:left w:val="single" w:sz="6" w:space="0" w:color="auto"/>
              <w:bottom w:val="single" w:sz="6" w:space="0" w:color="auto"/>
              <w:right w:val="single" w:sz="6" w:space="0" w:color="auto"/>
            </w:tcBorders>
          </w:tcPr>
          <w:p w14:paraId="2011E39C" w14:textId="77777777" w:rsidR="00D43DC8" w:rsidRDefault="00D43DC8" w:rsidP="00EC226F">
            <w:pPr>
              <w:pStyle w:val="NormalIndent"/>
              <w:numPr>
                <w:ilvl w:val="0"/>
                <w:numId w:val="4"/>
              </w:numPr>
              <w:spacing w:before="120" w:after="120"/>
              <w:ind w:left="146" w:firstLine="0"/>
              <w:rPr>
                <w:rFonts w:ascii="Arial" w:hAnsi="Arial" w:cs="Arial"/>
                <w:snapToGrid w:val="0"/>
                <w:sz w:val="18"/>
              </w:rPr>
            </w:pPr>
            <w:r>
              <w:rPr>
                <w:rFonts w:ascii="Arial" w:hAnsi="Arial" w:cs="Arial"/>
                <w:snapToGrid w:val="0"/>
                <w:sz w:val="18"/>
              </w:rPr>
              <w:lastRenderedPageBreak/>
              <w:t>Changes  between adjacent bands 6 to 8:</w:t>
            </w:r>
          </w:p>
        </w:tc>
        <w:tc>
          <w:tcPr>
            <w:tcW w:w="1418" w:type="dxa"/>
            <w:tcBorders>
              <w:top w:val="single" w:sz="6" w:space="0" w:color="auto"/>
              <w:left w:val="single" w:sz="6" w:space="0" w:color="auto"/>
              <w:bottom w:val="single" w:sz="4" w:space="0" w:color="auto"/>
              <w:right w:val="single" w:sz="6" w:space="0" w:color="auto"/>
            </w:tcBorders>
          </w:tcPr>
          <w:p w14:paraId="6955A85E" w14:textId="77777777" w:rsidR="00D43DC8" w:rsidRDefault="00D43DC8" w:rsidP="00EC226F">
            <w:pPr>
              <w:spacing w:before="120" w:after="120"/>
              <w:ind w:left="111" w:right="97"/>
              <w:jc w:val="right"/>
              <w:rPr>
                <w:rFonts w:ascii="Arial" w:hAnsi="Arial" w:cs="Arial"/>
                <w:b/>
                <w:bCs/>
                <w:snapToGrid w:val="0"/>
                <w:sz w:val="18"/>
              </w:rPr>
            </w:pPr>
            <w:r>
              <w:rPr>
                <w:rFonts w:ascii="Arial" w:hAnsi="Arial" w:cs="Arial"/>
                <w:b/>
                <w:bCs/>
                <w:snapToGrid w:val="0"/>
                <w:sz w:val="18"/>
              </w:rPr>
              <w:t>$500.00</w:t>
            </w:r>
          </w:p>
        </w:tc>
      </w:tr>
    </w:tbl>
    <w:p w14:paraId="40592D12" w14:textId="77777777" w:rsidR="00D43DC8" w:rsidRDefault="00D43DC8" w:rsidP="00B11B61">
      <w:pPr>
        <w:pStyle w:val="Heading7"/>
        <w:rPr>
          <w:b/>
          <w:bCs/>
        </w:rPr>
      </w:pPr>
    </w:p>
    <w:p w14:paraId="3822D26C" w14:textId="77777777" w:rsidR="00D43DC8" w:rsidRDefault="00D43DC8">
      <w:pPr>
        <w:pStyle w:val="Indent1"/>
      </w:pPr>
      <w:bookmarkStart w:id="64" w:name="_Toc477170901"/>
      <w:r>
        <w:t>Minor network changes</w:t>
      </w:r>
      <w:bookmarkEnd w:id="64"/>
    </w:p>
    <w:p w14:paraId="2AEF4CA2" w14:textId="77777777" w:rsidR="00D43DC8" w:rsidRDefault="00D43DC8">
      <w:pPr>
        <w:pStyle w:val="Heading2"/>
      </w:pPr>
      <w:r>
        <w:t>We charge you the following for any minor network changes:</w:t>
      </w:r>
    </w:p>
    <w:tbl>
      <w:tblPr>
        <w:tblW w:w="5954" w:type="dxa"/>
        <w:tblInd w:w="659" w:type="dxa"/>
        <w:tblLayout w:type="fixed"/>
        <w:tblCellMar>
          <w:left w:w="30" w:type="dxa"/>
          <w:right w:w="30" w:type="dxa"/>
        </w:tblCellMar>
        <w:tblLook w:val="0000" w:firstRow="0" w:lastRow="0" w:firstColumn="0" w:lastColumn="0" w:noHBand="0" w:noVBand="0"/>
      </w:tblPr>
      <w:tblGrid>
        <w:gridCol w:w="4536"/>
        <w:gridCol w:w="1418"/>
      </w:tblGrid>
      <w:tr w:rsidR="00D43DC8" w14:paraId="66C6C188" w14:textId="77777777">
        <w:tblPrEx>
          <w:tblCellMar>
            <w:top w:w="0" w:type="dxa"/>
            <w:bottom w:w="0" w:type="dxa"/>
          </w:tblCellMar>
        </w:tblPrEx>
        <w:trPr>
          <w:trHeight w:val="247"/>
          <w:tblHeader/>
        </w:trPr>
        <w:tc>
          <w:tcPr>
            <w:tcW w:w="4536" w:type="dxa"/>
            <w:tcBorders>
              <w:top w:val="single" w:sz="6" w:space="0" w:color="auto"/>
              <w:left w:val="single" w:sz="6" w:space="0" w:color="auto"/>
              <w:bottom w:val="single" w:sz="6" w:space="0" w:color="auto"/>
              <w:right w:val="single" w:sz="6" w:space="0" w:color="auto"/>
            </w:tcBorders>
          </w:tcPr>
          <w:p w14:paraId="395B9CB2" w14:textId="77777777" w:rsidR="00D43DC8" w:rsidRDefault="00D43DC8" w:rsidP="00EC226F">
            <w:pPr>
              <w:keepNext/>
              <w:spacing w:before="120" w:after="120"/>
              <w:ind w:left="146"/>
              <w:rPr>
                <w:rFonts w:ascii="Arial" w:hAnsi="Arial" w:cs="Arial"/>
                <w:b/>
                <w:bCs/>
                <w:snapToGrid w:val="0"/>
                <w:sz w:val="18"/>
              </w:rPr>
            </w:pPr>
            <w:r>
              <w:rPr>
                <w:rFonts w:ascii="Arial" w:hAnsi="Arial" w:cs="Arial"/>
                <w:b/>
                <w:bCs/>
                <w:snapToGrid w:val="0"/>
                <w:sz w:val="18"/>
              </w:rPr>
              <w:t>Minor network change charge</w:t>
            </w:r>
          </w:p>
        </w:tc>
        <w:tc>
          <w:tcPr>
            <w:tcW w:w="1418" w:type="dxa"/>
            <w:tcBorders>
              <w:top w:val="single" w:sz="6" w:space="0" w:color="auto"/>
              <w:left w:val="single" w:sz="6" w:space="0" w:color="auto"/>
              <w:bottom w:val="single" w:sz="6" w:space="0" w:color="auto"/>
              <w:right w:val="single" w:sz="6" w:space="0" w:color="auto"/>
            </w:tcBorders>
          </w:tcPr>
          <w:p w14:paraId="0A973B33" w14:textId="77777777" w:rsidR="00D43DC8" w:rsidRDefault="00D43DC8" w:rsidP="00EC226F">
            <w:pPr>
              <w:pStyle w:val="TableHead"/>
              <w:keepNext/>
              <w:spacing w:before="120" w:after="120"/>
              <w:ind w:left="95" w:right="113"/>
              <w:rPr>
                <w:rFonts w:cs="Arial"/>
                <w:bCs/>
                <w:snapToGrid w:val="0"/>
              </w:rPr>
            </w:pPr>
            <w:r>
              <w:rPr>
                <w:rFonts w:cs="Arial"/>
                <w:bCs/>
                <w:snapToGrid w:val="0"/>
              </w:rPr>
              <w:t>GST excl.</w:t>
            </w:r>
          </w:p>
        </w:tc>
      </w:tr>
      <w:tr w:rsidR="00D43DC8" w14:paraId="449807D1" w14:textId="77777777">
        <w:tblPrEx>
          <w:tblCellMar>
            <w:top w:w="0" w:type="dxa"/>
            <w:bottom w:w="0" w:type="dxa"/>
          </w:tblCellMar>
        </w:tblPrEx>
        <w:trPr>
          <w:trHeight w:val="247"/>
        </w:trPr>
        <w:tc>
          <w:tcPr>
            <w:tcW w:w="4536" w:type="dxa"/>
            <w:tcBorders>
              <w:top w:val="single" w:sz="6" w:space="0" w:color="auto"/>
              <w:left w:val="single" w:sz="6" w:space="0" w:color="auto"/>
              <w:bottom w:val="single" w:sz="6" w:space="0" w:color="auto"/>
              <w:right w:val="single" w:sz="6" w:space="0" w:color="auto"/>
            </w:tcBorders>
          </w:tcPr>
          <w:p w14:paraId="71FB6C79" w14:textId="77777777" w:rsidR="00D43DC8" w:rsidRDefault="00D43DC8" w:rsidP="00EC226F">
            <w:pPr>
              <w:spacing w:before="120" w:after="120"/>
              <w:ind w:left="146"/>
              <w:rPr>
                <w:rFonts w:ascii="Arial" w:hAnsi="Arial" w:cs="Arial"/>
                <w:snapToGrid w:val="0"/>
                <w:sz w:val="18"/>
              </w:rPr>
            </w:pPr>
            <w:r>
              <w:rPr>
                <w:rFonts w:ascii="Arial" w:hAnsi="Arial" w:cs="Arial"/>
                <w:snapToGrid w:val="0"/>
                <w:sz w:val="18"/>
              </w:rPr>
              <w:t>For one or more minor network changes requested at the same time</w:t>
            </w:r>
          </w:p>
        </w:tc>
        <w:tc>
          <w:tcPr>
            <w:tcW w:w="1418" w:type="dxa"/>
            <w:tcBorders>
              <w:top w:val="single" w:sz="6" w:space="0" w:color="auto"/>
              <w:left w:val="single" w:sz="6" w:space="0" w:color="auto"/>
              <w:bottom w:val="single" w:sz="6" w:space="0" w:color="auto"/>
              <w:right w:val="single" w:sz="6" w:space="0" w:color="auto"/>
            </w:tcBorders>
          </w:tcPr>
          <w:p w14:paraId="557D57A4" w14:textId="77777777" w:rsidR="00D43DC8" w:rsidRDefault="00D43DC8" w:rsidP="00EC226F">
            <w:pPr>
              <w:spacing w:before="120" w:after="120"/>
              <w:ind w:left="95" w:right="113"/>
              <w:jc w:val="right"/>
              <w:rPr>
                <w:rFonts w:ascii="Arial" w:hAnsi="Arial" w:cs="Arial"/>
                <w:b/>
                <w:bCs/>
                <w:snapToGrid w:val="0"/>
                <w:sz w:val="18"/>
              </w:rPr>
            </w:pPr>
            <w:r>
              <w:rPr>
                <w:rFonts w:ascii="Arial" w:hAnsi="Arial" w:cs="Arial"/>
                <w:b/>
                <w:bCs/>
                <w:snapToGrid w:val="0"/>
                <w:sz w:val="18"/>
              </w:rPr>
              <w:t>$100.00</w:t>
            </w:r>
          </w:p>
        </w:tc>
      </w:tr>
    </w:tbl>
    <w:p w14:paraId="1770C395" w14:textId="77777777" w:rsidR="00D43DC8" w:rsidRDefault="00D43DC8">
      <w:pPr>
        <w:pStyle w:val="TableData"/>
      </w:pPr>
    </w:p>
    <w:p w14:paraId="5C0BD8C2" w14:textId="77777777" w:rsidR="00D43DC8" w:rsidRDefault="00D43DC8">
      <w:pPr>
        <w:pStyle w:val="Indent1"/>
      </w:pPr>
      <w:bookmarkStart w:id="65" w:name="_Toc477170902"/>
      <w:r>
        <w:t>New and replacement secure ID devices</w:t>
      </w:r>
      <w:bookmarkEnd w:id="65"/>
    </w:p>
    <w:p w14:paraId="4D877C11" w14:textId="77777777" w:rsidR="00D43DC8" w:rsidRDefault="00D43DC8">
      <w:pPr>
        <w:pStyle w:val="Heading2"/>
      </w:pPr>
      <w:r>
        <w:t>We charge you the following for each new or replacement secure ID device you ask us to provide:</w:t>
      </w:r>
    </w:p>
    <w:tbl>
      <w:tblPr>
        <w:tblW w:w="5954" w:type="dxa"/>
        <w:tblInd w:w="659" w:type="dxa"/>
        <w:tblLayout w:type="fixed"/>
        <w:tblCellMar>
          <w:left w:w="30" w:type="dxa"/>
          <w:right w:w="30" w:type="dxa"/>
        </w:tblCellMar>
        <w:tblLook w:val="0000" w:firstRow="0" w:lastRow="0" w:firstColumn="0" w:lastColumn="0" w:noHBand="0" w:noVBand="0"/>
      </w:tblPr>
      <w:tblGrid>
        <w:gridCol w:w="4536"/>
        <w:gridCol w:w="1418"/>
      </w:tblGrid>
      <w:tr w:rsidR="00D43DC8" w14:paraId="3073C976" w14:textId="77777777">
        <w:tblPrEx>
          <w:tblCellMar>
            <w:top w:w="0" w:type="dxa"/>
            <w:bottom w:w="0" w:type="dxa"/>
          </w:tblCellMar>
        </w:tblPrEx>
        <w:trPr>
          <w:trHeight w:val="247"/>
          <w:tblHeader/>
        </w:trPr>
        <w:tc>
          <w:tcPr>
            <w:tcW w:w="4536" w:type="dxa"/>
            <w:tcBorders>
              <w:top w:val="single" w:sz="6" w:space="0" w:color="auto"/>
              <w:left w:val="single" w:sz="6" w:space="0" w:color="auto"/>
              <w:bottom w:val="single" w:sz="6" w:space="0" w:color="auto"/>
              <w:right w:val="single" w:sz="6" w:space="0" w:color="auto"/>
            </w:tcBorders>
          </w:tcPr>
          <w:p w14:paraId="61AF8019" w14:textId="77777777" w:rsidR="00D43DC8" w:rsidRDefault="00D43DC8" w:rsidP="00EC226F">
            <w:pPr>
              <w:keepNext/>
              <w:spacing w:before="120" w:after="120"/>
              <w:ind w:left="146" w:right="75"/>
              <w:rPr>
                <w:rFonts w:ascii="Arial" w:hAnsi="Arial" w:cs="Arial"/>
                <w:b/>
                <w:bCs/>
                <w:snapToGrid w:val="0"/>
                <w:sz w:val="18"/>
              </w:rPr>
            </w:pPr>
            <w:r>
              <w:rPr>
                <w:rFonts w:ascii="Arial" w:hAnsi="Arial" w:cs="Arial"/>
                <w:b/>
                <w:bCs/>
                <w:snapToGrid w:val="0"/>
                <w:sz w:val="18"/>
              </w:rPr>
              <w:t>Secure ID device charge</w:t>
            </w:r>
          </w:p>
        </w:tc>
        <w:tc>
          <w:tcPr>
            <w:tcW w:w="1418" w:type="dxa"/>
            <w:tcBorders>
              <w:top w:val="single" w:sz="6" w:space="0" w:color="auto"/>
              <w:left w:val="single" w:sz="6" w:space="0" w:color="auto"/>
              <w:bottom w:val="single" w:sz="6" w:space="0" w:color="auto"/>
              <w:right w:val="single" w:sz="6" w:space="0" w:color="auto"/>
            </w:tcBorders>
          </w:tcPr>
          <w:p w14:paraId="24D23CD0" w14:textId="77777777" w:rsidR="00D43DC8" w:rsidRDefault="00D43DC8" w:rsidP="00EC226F">
            <w:pPr>
              <w:pStyle w:val="TableHead"/>
              <w:keepNext/>
              <w:spacing w:before="120" w:after="120"/>
              <w:ind w:right="113" w:firstLine="95"/>
              <w:rPr>
                <w:rFonts w:cs="Arial"/>
                <w:bCs/>
                <w:snapToGrid w:val="0"/>
              </w:rPr>
            </w:pPr>
            <w:r>
              <w:rPr>
                <w:rFonts w:cs="Arial"/>
                <w:bCs/>
                <w:snapToGrid w:val="0"/>
              </w:rPr>
              <w:t>GST excl.</w:t>
            </w:r>
          </w:p>
        </w:tc>
      </w:tr>
      <w:tr w:rsidR="00D43DC8" w14:paraId="5254951E" w14:textId="77777777">
        <w:tblPrEx>
          <w:tblCellMar>
            <w:top w:w="0" w:type="dxa"/>
            <w:bottom w:w="0" w:type="dxa"/>
          </w:tblCellMar>
        </w:tblPrEx>
        <w:trPr>
          <w:trHeight w:val="330"/>
        </w:trPr>
        <w:tc>
          <w:tcPr>
            <w:tcW w:w="4536" w:type="dxa"/>
            <w:tcBorders>
              <w:top w:val="single" w:sz="6" w:space="0" w:color="auto"/>
              <w:left w:val="single" w:sz="6" w:space="0" w:color="auto"/>
              <w:bottom w:val="single" w:sz="6" w:space="0" w:color="auto"/>
              <w:right w:val="single" w:sz="6" w:space="0" w:color="auto"/>
            </w:tcBorders>
          </w:tcPr>
          <w:p w14:paraId="65047BCC" w14:textId="77777777" w:rsidR="00D43DC8" w:rsidRDefault="00D43DC8" w:rsidP="00EC226F">
            <w:pPr>
              <w:pStyle w:val="NormalIndent"/>
              <w:spacing w:before="120" w:after="120"/>
              <w:ind w:left="146" w:right="75"/>
              <w:rPr>
                <w:rFonts w:ascii="Arial" w:hAnsi="Arial" w:cs="Arial"/>
                <w:snapToGrid w:val="0"/>
                <w:sz w:val="18"/>
              </w:rPr>
            </w:pPr>
            <w:r>
              <w:rPr>
                <w:rFonts w:ascii="Arial" w:hAnsi="Arial" w:cs="Arial"/>
                <w:snapToGrid w:val="0"/>
                <w:sz w:val="18"/>
              </w:rPr>
              <w:t>For each new or replacement secure ID device</w:t>
            </w:r>
          </w:p>
        </w:tc>
        <w:tc>
          <w:tcPr>
            <w:tcW w:w="1418" w:type="dxa"/>
            <w:tcBorders>
              <w:top w:val="single" w:sz="6" w:space="0" w:color="auto"/>
              <w:left w:val="single" w:sz="6" w:space="0" w:color="auto"/>
              <w:bottom w:val="single" w:sz="6" w:space="0" w:color="auto"/>
              <w:right w:val="single" w:sz="6" w:space="0" w:color="auto"/>
            </w:tcBorders>
          </w:tcPr>
          <w:p w14:paraId="780E2955" w14:textId="77777777" w:rsidR="00D43DC8" w:rsidRDefault="00D43DC8" w:rsidP="00EC226F">
            <w:pPr>
              <w:spacing w:before="120" w:after="120"/>
              <w:ind w:right="113" w:firstLine="95"/>
              <w:jc w:val="right"/>
              <w:rPr>
                <w:rFonts w:ascii="Arial" w:hAnsi="Arial" w:cs="Arial"/>
                <w:b/>
                <w:bCs/>
                <w:snapToGrid w:val="0"/>
                <w:sz w:val="18"/>
              </w:rPr>
            </w:pPr>
            <w:r>
              <w:rPr>
                <w:rFonts w:ascii="Arial" w:hAnsi="Arial" w:cs="Arial"/>
                <w:b/>
                <w:bCs/>
                <w:snapToGrid w:val="0"/>
                <w:sz w:val="18"/>
              </w:rPr>
              <w:t>$100.00</w:t>
            </w:r>
          </w:p>
        </w:tc>
      </w:tr>
    </w:tbl>
    <w:p w14:paraId="11E987D4" w14:textId="77777777" w:rsidR="00D43DC8" w:rsidRDefault="00D43DC8">
      <w:pPr>
        <w:pStyle w:val="TableData"/>
      </w:pPr>
    </w:p>
    <w:p w14:paraId="470C8105" w14:textId="77777777" w:rsidR="00D43DC8" w:rsidRDefault="00D43DC8">
      <w:pPr>
        <w:pStyle w:val="Indent1"/>
      </w:pPr>
      <w:bookmarkStart w:id="66" w:name="_Toc477170903"/>
      <w:r>
        <w:rPr>
          <w:lang w:val="en-US"/>
        </w:rPr>
        <w:t>Changing the physical port type</w:t>
      </w:r>
      <w:bookmarkEnd w:id="66"/>
    </w:p>
    <w:p w14:paraId="45BE6EB7" w14:textId="77777777" w:rsidR="00D43DC8" w:rsidRDefault="00D43DC8">
      <w:pPr>
        <w:pStyle w:val="Heading2"/>
      </w:pPr>
      <w:r>
        <w:t xml:space="preserve">We charge you the following for </w:t>
      </w:r>
      <w:r>
        <w:rPr>
          <w:lang w:val="en-US"/>
        </w:rPr>
        <w:t xml:space="preserve">changing the physical port type </w:t>
      </w:r>
      <w:r>
        <w:rPr>
          <w:rFonts w:cs="Arial"/>
          <w:snapToGrid w:val="0"/>
        </w:rPr>
        <w:t>from a UTP to a MMOF, or from a MMOF to a UTP:</w:t>
      </w:r>
    </w:p>
    <w:tbl>
      <w:tblPr>
        <w:tblW w:w="5954" w:type="dxa"/>
        <w:tblInd w:w="659" w:type="dxa"/>
        <w:tblLayout w:type="fixed"/>
        <w:tblCellMar>
          <w:left w:w="30" w:type="dxa"/>
          <w:right w:w="30" w:type="dxa"/>
        </w:tblCellMar>
        <w:tblLook w:val="0000" w:firstRow="0" w:lastRow="0" w:firstColumn="0" w:lastColumn="0" w:noHBand="0" w:noVBand="0"/>
      </w:tblPr>
      <w:tblGrid>
        <w:gridCol w:w="4536"/>
        <w:gridCol w:w="1418"/>
      </w:tblGrid>
      <w:tr w:rsidR="00D43DC8" w14:paraId="4E779763" w14:textId="77777777">
        <w:tblPrEx>
          <w:tblCellMar>
            <w:top w:w="0" w:type="dxa"/>
            <w:bottom w:w="0" w:type="dxa"/>
          </w:tblCellMar>
        </w:tblPrEx>
        <w:trPr>
          <w:trHeight w:val="247"/>
        </w:trPr>
        <w:tc>
          <w:tcPr>
            <w:tcW w:w="4536" w:type="dxa"/>
            <w:tcBorders>
              <w:top w:val="single" w:sz="6" w:space="0" w:color="auto"/>
              <w:left w:val="single" w:sz="6" w:space="0" w:color="auto"/>
              <w:bottom w:val="single" w:sz="6" w:space="0" w:color="auto"/>
              <w:right w:val="single" w:sz="6" w:space="0" w:color="auto"/>
            </w:tcBorders>
          </w:tcPr>
          <w:p w14:paraId="35AA2A6A" w14:textId="77777777" w:rsidR="00D43DC8" w:rsidRDefault="00D43DC8" w:rsidP="00EC226F">
            <w:pPr>
              <w:keepNext/>
              <w:spacing w:before="120" w:after="120"/>
              <w:ind w:left="146"/>
              <w:rPr>
                <w:rFonts w:ascii="Arial" w:hAnsi="Arial" w:cs="Arial"/>
                <w:snapToGrid w:val="0"/>
                <w:sz w:val="18"/>
              </w:rPr>
            </w:pPr>
            <w:r>
              <w:rPr>
                <w:rFonts w:ascii="Arial" w:hAnsi="Arial" w:cs="Arial"/>
                <w:b/>
                <w:bCs/>
                <w:sz w:val="18"/>
                <w:lang w:val="en-US"/>
              </w:rPr>
              <w:t>Changing the physical port type</w:t>
            </w:r>
            <w:r>
              <w:rPr>
                <w:rFonts w:ascii="Arial" w:hAnsi="Arial" w:cs="Arial"/>
                <w:b/>
                <w:bCs/>
                <w:sz w:val="18"/>
              </w:rPr>
              <w:t xml:space="preserve"> charges</w:t>
            </w:r>
          </w:p>
        </w:tc>
        <w:tc>
          <w:tcPr>
            <w:tcW w:w="1418" w:type="dxa"/>
            <w:tcBorders>
              <w:top w:val="single" w:sz="6" w:space="0" w:color="auto"/>
              <w:left w:val="single" w:sz="6" w:space="0" w:color="auto"/>
              <w:bottom w:val="single" w:sz="6" w:space="0" w:color="auto"/>
              <w:right w:val="single" w:sz="6" w:space="0" w:color="auto"/>
            </w:tcBorders>
          </w:tcPr>
          <w:p w14:paraId="5C29E65E" w14:textId="77777777" w:rsidR="00D43DC8" w:rsidRDefault="00D43DC8" w:rsidP="00EC226F">
            <w:pPr>
              <w:pStyle w:val="TableHead"/>
              <w:keepNext/>
              <w:spacing w:before="120" w:after="120"/>
              <w:ind w:right="113" w:firstLine="95"/>
              <w:rPr>
                <w:rFonts w:cs="Arial"/>
                <w:snapToGrid w:val="0"/>
              </w:rPr>
            </w:pPr>
            <w:r>
              <w:rPr>
                <w:rFonts w:cs="Arial"/>
                <w:snapToGrid w:val="0"/>
              </w:rPr>
              <w:t>GST excl.</w:t>
            </w:r>
          </w:p>
        </w:tc>
      </w:tr>
      <w:tr w:rsidR="00D43DC8" w14:paraId="4A858E47" w14:textId="77777777">
        <w:tblPrEx>
          <w:tblCellMar>
            <w:top w:w="0" w:type="dxa"/>
            <w:bottom w:w="0" w:type="dxa"/>
          </w:tblCellMar>
        </w:tblPrEx>
        <w:trPr>
          <w:trHeight w:val="247"/>
        </w:trPr>
        <w:tc>
          <w:tcPr>
            <w:tcW w:w="4536" w:type="dxa"/>
            <w:tcBorders>
              <w:top w:val="single" w:sz="6" w:space="0" w:color="auto"/>
              <w:left w:val="single" w:sz="6" w:space="0" w:color="auto"/>
              <w:bottom w:val="single" w:sz="6" w:space="0" w:color="auto"/>
              <w:right w:val="single" w:sz="6" w:space="0" w:color="auto"/>
            </w:tcBorders>
          </w:tcPr>
          <w:p w14:paraId="5CF798BD" w14:textId="77777777" w:rsidR="00D43DC8" w:rsidRDefault="00D43DC8" w:rsidP="00EC226F">
            <w:pPr>
              <w:pStyle w:val="TableData"/>
              <w:ind w:left="146"/>
              <w:rPr>
                <w:rFonts w:cs="Arial"/>
                <w:snapToGrid w:val="0"/>
              </w:rPr>
            </w:pPr>
            <w:r>
              <w:rPr>
                <w:rFonts w:cs="Arial"/>
                <w:snapToGrid w:val="0"/>
              </w:rPr>
              <w:t>For each change</w:t>
            </w:r>
          </w:p>
        </w:tc>
        <w:tc>
          <w:tcPr>
            <w:tcW w:w="1418" w:type="dxa"/>
            <w:tcBorders>
              <w:top w:val="single" w:sz="4" w:space="0" w:color="auto"/>
              <w:left w:val="single" w:sz="6" w:space="0" w:color="auto"/>
              <w:bottom w:val="single" w:sz="4" w:space="0" w:color="auto"/>
              <w:right w:val="single" w:sz="6" w:space="0" w:color="auto"/>
            </w:tcBorders>
          </w:tcPr>
          <w:p w14:paraId="21AB7A75" w14:textId="77777777" w:rsidR="00D43DC8" w:rsidRDefault="00D43DC8" w:rsidP="00EC226F">
            <w:pPr>
              <w:spacing w:before="120" w:after="120"/>
              <w:ind w:right="113" w:firstLine="95"/>
              <w:jc w:val="right"/>
              <w:rPr>
                <w:rFonts w:ascii="Arial" w:hAnsi="Arial" w:cs="Arial"/>
                <w:b/>
                <w:bCs/>
                <w:snapToGrid w:val="0"/>
                <w:sz w:val="18"/>
              </w:rPr>
            </w:pPr>
            <w:r>
              <w:rPr>
                <w:rFonts w:ascii="Arial" w:hAnsi="Arial" w:cs="Arial"/>
                <w:b/>
                <w:bCs/>
                <w:snapToGrid w:val="0"/>
                <w:sz w:val="18"/>
              </w:rPr>
              <w:t>$3,600.00</w:t>
            </w:r>
          </w:p>
        </w:tc>
      </w:tr>
    </w:tbl>
    <w:p w14:paraId="00B02758" w14:textId="77777777" w:rsidR="00D43DC8" w:rsidRDefault="00D43DC8">
      <w:pPr>
        <w:pStyle w:val="TableData"/>
      </w:pPr>
    </w:p>
    <w:p w14:paraId="00E1FD84" w14:textId="77777777" w:rsidR="00D43DC8" w:rsidRDefault="00D43DC8">
      <w:pPr>
        <w:pStyle w:val="Indent1"/>
      </w:pPr>
      <w:bookmarkStart w:id="67" w:name="_Toc477170904"/>
      <w:r>
        <w:rPr>
          <w:lang w:val="en-US"/>
        </w:rPr>
        <w:t>Converting your service</w:t>
      </w:r>
      <w:bookmarkEnd w:id="67"/>
    </w:p>
    <w:p w14:paraId="78C75A50" w14:textId="77777777" w:rsidR="00D43DC8" w:rsidRDefault="00D43DC8">
      <w:pPr>
        <w:pStyle w:val="Heading2"/>
      </w:pPr>
      <w:r>
        <w:t>You can ask us to convert:</w:t>
      </w:r>
    </w:p>
    <w:p w14:paraId="12E09E98" w14:textId="77777777" w:rsidR="00D43DC8" w:rsidRDefault="00D43DC8">
      <w:pPr>
        <w:pStyle w:val="Heading3"/>
      </w:pPr>
      <w:r>
        <w:t>one Ethernet MAN single uplink to one Ethernet MAN dual uplink;</w:t>
      </w:r>
    </w:p>
    <w:p w14:paraId="4E30EB2F" w14:textId="77777777" w:rsidR="00D43DC8" w:rsidRDefault="00D43DC8">
      <w:pPr>
        <w:pStyle w:val="Heading3"/>
      </w:pPr>
      <w:r>
        <w:t>two IP MAN dual uplinks to one Ethernet MAN service;</w:t>
      </w:r>
    </w:p>
    <w:p w14:paraId="45BB4C3B" w14:textId="77777777" w:rsidR="00D43DC8" w:rsidRDefault="00D43DC8">
      <w:pPr>
        <w:pStyle w:val="Heading3"/>
      </w:pPr>
      <w:r>
        <w:t>two IP MAN fully redundant connections to one Ethernet MAN service;</w:t>
      </w:r>
    </w:p>
    <w:p w14:paraId="3D684B53" w14:textId="77777777" w:rsidR="00D43DC8" w:rsidRDefault="00D43DC8">
      <w:pPr>
        <w:pStyle w:val="Heading3"/>
      </w:pPr>
      <w:r>
        <w:t>an Ethernet MAN service to two IP MAN dual fibre connections; and</w:t>
      </w:r>
    </w:p>
    <w:p w14:paraId="651E8B76" w14:textId="77777777" w:rsidR="00D43DC8" w:rsidRDefault="00D43DC8">
      <w:pPr>
        <w:pStyle w:val="Heading3"/>
      </w:pPr>
      <w:r>
        <w:lastRenderedPageBreak/>
        <w:t>an Ethernet MAN service to two IP MAN fully redundant connections.</w:t>
      </w:r>
    </w:p>
    <w:p w14:paraId="5FD925AD" w14:textId="77777777" w:rsidR="00D43DC8" w:rsidRDefault="00D43DC8">
      <w:pPr>
        <w:pStyle w:val="Heading2"/>
      </w:pPr>
      <w:r>
        <w:t xml:space="preserve">We charge you the following for the conversion: </w:t>
      </w:r>
    </w:p>
    <w:tbl>
      <w:tblPr>
        <w:tblW w:w="5954" w:type="dxa"/>
        <w:tblInd w:w="659" w:type="dxa"/>
        <w:tblLayout w:type="fixed"/>
        <w:tblCellMar>
          <w:left w:w="30" w:type="dxa"/>
          <w:right w:w="30" w:type="dxa"/>
        </w:tblCellMar>
        <w:tblLook w:val="0000" w:firstRow="0" w:lastRow="0" w:firstColumn="0" w:lastColumn="0" w:noHBand="0" w:noVBand="0"/>
      </w:tblPr>
      <w:tblGrid>
        <w:gridCol w:w="4536"/>
        <w:gridCol w:w="1418"/>
      </w:tblGrid>
      <w:tr w:rsidR="00D43DC8" w14:paraId="40DC1B3E" w14:textId="77777777">
        <w:tblPrEx>
          <w:tblCellMar>
            <w:top w:w="0" w:type="dxa"/>
            <w:bottom w:w="0" w:type="dxa"/>
          </w:tblCellMar>
        </w:tblPrEx>
        <w:trPr>
          <w:trHeight w:val="247"/>
          <w:tblHeader/>
        </w:trPr>
        <w:tc>
          <w:tcPr>
            <w:tcW w:w="4536" w:type="dxa"/>
            <w:tcBorders>
              <w:top w:val="single" w:sz="6" w:space="0" w:color="auto"/>
              <w:left w:val="single" w:sz="6" w:space="0" w:color="auto"/>
              <w:bottom w:val="single" w:sz="6" w:space="0" w:color="auto"/>
              <w:right w:val="single" w:sz="6" w:space="0" w:color="auto"/>
            </w:tcBorders>
          </w:tcPr>
          <w:p w14:paraId="288748B2" w14:textId="77777777" w:rsidR="00D43DC8" w:rsidRDefault="00D43DC8" w:rsidP="00E768A5">
            <w:pPr>
              <w:pStyle w:val="TableHead"/>
              <w:keepNext/>
              <w:spacing w:before="120" w:after="120"/>
              <w:ind w:left="146" w:right="75"/>
              <w:rPr>
                <w:rFonts w:cs="Arial"/>
                <w:bCs/>
                <w:snapToGrid w:val="0"/>
                <w:lang w:val="en-US"/>
              </w:rPr>
            </w:pPr>
            <w:r>
              <w:rPr>
                <w:rFonts w:cs="Arial"/>
                <w:bCs/>
                <w:lang w:val="en-US"/>
              </w:rPr>
              <w:t>Service conversion charges</w:t>
            </w:r>
          </w:p>
        </w:tc>
        <w:tc>
          <w:tcPr>
            <w:tcW w:w="1418" w:type="dxa"/>
            <w:tcBorders>
              <w:top w:val="single" w:sz="6" w:space="0" w:color="auto"/>
              <w:left w:val="single" w:sz="6" w:space="0" w:color="auto"/>
              <w:bottom w:val="single" w:sz="6" w:space="0" w:color="auto"/>
              <w:right w:val="single" w:sz="6" w:space="0" w:color="auto"/>
            </w:tcBorders>
          </w:tcPr>
          <w:p w14:paraId="68FCAF40" w14:textId="77777777" w:rsidR="00D43DC8" w:rsidRDefault="00D43DC8" w:rsidP="00E768A5">
            <w:pPr>
              <w:keepNext/>
              <w:spacing w:before="120" w:after="120"/>
              <w:ind w:left="95" w:right="113"/>
              <w:rPr>
                <w:rFonts w:ascii="Arial" w:hAnsi="Arial" w:cs="Arial"/>
                <w:b/>
                <w:snapToGrid w:val="0"/>
                <w:sz w:val="18"/>
              </w:rPr>
            </w:pPr>
            <w:r>
              <w:rPr>
                <w:rFonts w:ascii="Arial" w:hAnsi="Arial" w:cs="Arial"/>
                <w:b/>
                <w:snapToGrid w:val="0"/>
                <w:sz w:val="18"/>
              </w:rPr>
              <w:t>GST excl.</w:t>
            </w:r>
          </w:p>
        </w:tc>
      </w:tr>
      <w:tr w:rsidR="00D43DC8" w14:paraId="6BBD16B4" w14:textId="77777777">
        <w:tblPrEx>
          <w:tblCellMar>
            <w:top w:w="0" w:type="dxa"/>
            <w:bottom w:w="0" w:type="dxa"/>
          </w:tblCellMar>
        </w:tblPrEx>
        <w:trPr>
          <w:trHeight w:val="247"/>
        </w:trPr>
        <w:tc>
          <w:tcPr>
            <w:tcW w:w="4536" w:type="dxa"/>
            <w:tcBorders>
              <w:top w:val="single" w:sz="6" w:space="0" w:color="auto"/>
              <w:left w:val="single" w:sz="6" w:space="0" w:color="auto"/>
              <w:bottom w:val="single" w:sz="6" w:space="0" w:color="auto"/>
              <w:right w:val="single" w:sz="6" w:space="0" w:color="auto"/>
            </w:tcBorders>
          </w:tcPr>
          <w:p w14:paraId="570DF011" w14:textId="77777777" w:rsidR="00D43DC8" w:rsidRDefault="00D43DC8" w:rsidP="00E768A5">
            <w:pPr>
              <w:spacing w:before="120" w:after="120"/>
              <w:ind w:left="146" w:right="75"/>
              <w:rPr>
                <w:rFonts w:ascii="Arial" w:hAnsi="Arial" w:cs="Arial"/>
                <w:snapToGrid w:val="0"/>
                <w:sz w:val="18"/>
              </w:rPr>
            </w:pPr>
            <w:r>
              <w:rPr>
                <w:rFonts w:ascii="Arial" w:hAnsi="Arial" w:cs="Arial"/>
                <w:snapToGrid w:val="0"/>
                <w:sz w:val="18"/>
              </w:rPr>
              <w:t xml:space="preserve">For each conversion from Ethernet MAN single uplink to Ethernet MAN dual uplink </w:t>
            </w:r>
          </w:p>
        </w:tc>
        <w:tc>
          <w:tcPr>
            <w:tcW w:w="1418" w:type="dxa"/>
            <w:tcBorders>
              <w:top w:val="single" w:sz="4" w:space="0" w:color="auto"/>
              <w:left w:val="single" w:sz="6" w:space="0" w:color="auto"/>
              <w:bottom w:val="single" w:sz="6" w:space="0" w:color="auto"/>
              <w:right w:val="single" w:sz="6" w:space="0" w:color="auto"/>
            </w:tcBorders>
          </w:tcPr>
          <w:p w14:paraId="4CBF8E26" w14:textId="77777777" w:rsidR="00D43DC8" w:rsidRDefault="00D43DC8" w:rsidP="00E768A5">
            <w:pPr>
              <w:spacing w:before="120" w:after="120"/>
              <w:ind w:left="95" w:right="113"/>
              <w:jc w:val="right"/>
              <w:rPr>
                <w:rFonts w:ascii="Arial" w:hAnsi="Arial" w:cs="Arial"/>
                <w:b/>
                <w:bCs/>
                <w:snapToGrid w:val="0"/>
                <w:sz w:val="18"/>
              </w:rPr>
            </w:pPr>
            <w:r>
              <w:rPr>
                <w:rFonts w:ascii="Arial" w:hAnsi="Arial" w:cs="Arial"/>
                <w:b/>
                <w:bCs/>
                <w:snapToGrid w:val="0"/>
                <w:sz w:val="18"/>
              </w:rPr>
              <w:t>$5,000.00</w:t>
            </w:r>
          </w:p>
        </w:tc>
      </w:tr>
      <w:tr w:rsidR="0050254C" w14:paraId="48A10E38" w14:textId="77777777">
        <w:tblPrEx>
          <w:tblCellMar>
            <w:top w:w="0" w:type="dxa"/>
            <w:bottom w:w="0" w:type="dxa"/>
          </w:tblCellMar>
        </w:tblPrEx>
        <w:trPr>
          <w:trHeight w:val="247"/>
        </w:trPr>
        <w:tc>
          <w:tcPr>
            <w:tcW w:w="4536" w:type="dxa"/>
            <w:tcBorders>
              <w:top w:val="single" w:sz="6" w:space="0" w:color="auto"/>
              <w:left w:val="single" w:sz="6" w:space="0" w:color="auto"/>
              <w:bottom w:val="single" w:sz="6" w:space="0" w:color="auto"/>
              <w:right w:val="single" w:sz="6" w:space="0" w:color="auto"/>
            </w:tcBorders>
          </w:tcPr>
          <w:p w14:paraId="501CDB7F" w14:textId="77777777" w:rsidR="0050254C" w:rsidRDefault="0050254C" w:rsidP="00E768A5">
            <w:pPr>
              <w:spacing w:before="120" w:after="120"/>
              <w:ind w:left="146" w:right="75"/>
              <w:rPr>
                <w:rFonts w:ascii="Arial" w:hAnsi="Arial" w:cs="Arial"/>
                <w:snapToGrid w:val="0"/>
                <w:sz w:val="18"/>
              </w:rPr>
            </w:pPr>
            <w:r>
              <w:rPr>
                <w:rFonts w:ascii="Arial" w:hAnsi="Arial" w:cs="Arial"/>
                <w:snapToGrid w:val="0"/>
                <w:sz w:val="18"/>
              </w:rPr>
              <w:t>For each conversion from Ethernet MAN service to two IP MAN fully redundant connections</w:t>
            </w:r>
          </w:p>
        </w:tc>
        <w:tc>
          <w:tcPr>
            <w:tcW w:w="1418" w:type="dxa"/>
            <w:tcBorders>
              <w:top w:val="single" w:sz="4" w:space="0" w:color="auto"/>
              <w:left w:val="single" w:sz="6" w:space="0" w:color="auto"/>
              <w:bottom w:val="single" w:sz="6" w:space="0" w:color="auto"/>
              <w:right w:val="single" w:sz="6" w:space="0" w:color="auto"/>
            </w:tcBorders>
          </w:tcPr>
          <w:p w14:paraId="7E1D6462" w14:textId="77777777" w:rsidR="0050254C" w:rsidRDefault="00A50DBB" w:rsidP="00E768A5">
            <w:pPr>
              <w:spacing w:before="120" w:after="120"/>
              <w:ind w:left="95" w:right="113"/>
              <w:jc w:val="right"/>
              <w:rPr>
                <w:rFonts w:ascii="Arial" w:hAnsi="Arial" w:cs="Arial"/>
                <w:b/>
                <w:bCs/>
                <w:snapToGrid w:val="0"/>
                <w:sz w:val="18"/>
              </w:rPr>
            </w:pPr>
            <w:r>
              <w:rPr>
                <w:rFonts w:ascii="Arial" w:hAnsi="Arial" w:cs="Arial"/>
                <w:b/>
                <w:bCs/>
                <w:snapToGrid w:val="0"/>
                <w:sz w:val="18"/>
              </w:rPr>
              <w:t>$1,000.00</w:t>
            </w:r>
          </w:p>
        </w:tc>
      </w:tr>
      <w:tr w:rsidR="00D43DC8" w14:paraId="7E119E96" w14:textId="77777777">
        <w:tblPrEx>
          <w:tblCellMar>
            <w:top w:w="0" w:type="dxa"/>
            <w:bottom w:w="0" w:type="dxa"/>
          </w:tblCellMar>
        </w:tblPrEx>
        <w:trPr>
          <w:trHeight w:val="247"/>
        </w:trPr>
        <w:tc>
          <w:tcPr>
            <w:tcW w:w="4536" w:type="dxa"/>
            <w:tcBorders>
              <w:top w:val="single" w:sz="6" w:space="0" w:color="auto"/>
              <w:left w:val="single" w:sz="6" w:space="0" w:color="auto"/>
              <w:bottom w:val="single" w:sz="6" w:space="0" w:color="auto"/>
              <w:right w:val="single" w:sz="6" w:space="0" w:color="auto"/>
            </w:tcBorders>
          </w:tcPr>
          <w:p w14:paraId="65AB55AE" w14:textId="77777777" w:rsidR="00D43DC8" w:rsidRDefault="00D43DC8" w:rsidP="00E768A5">
            <w:pPr>
              <w:spacing w:before="120" w:after="120"/>
              <w:ind w:left="146" w:right="75"/>
              <w:rPr>
                <w:rFonts w:ascii="Arial" w:hAnsi="Arial" w:cs="Arial"/>
                <w:snapToGrid w:val="0"/>
                <w:sz w:val="18"/>
              </w:rPr>
            </w:pPr>
            <w:r>
              <w:rPr>
                <w:rFonts w:ascii="Arial" w:hAnsi="Arial" w:cs="Arial"/>
                <w:snapToGrid w:val="0"/>
                <w:sz w:val="18"/>
              </w:rPr>
              <w:t>For each other conversion</w:t>
            </w:r>
          </w:p>
        </w:tc>
        <w:tc>
          <w:tcPr>
            <w:tcW w:w="1418" w:type="dxa"/>
            <w:tcBorders>
              <w:top w:val="single" w:sz="4" w:space="0" w:color="auto"/>
              <w:left w:val="single" w:sz="6" w:space="0" w:color="auto"/>
              <w:bottom w:val="single" w:sz="6" w:space="0" w:color="auto"/>
              <w:right w:val="single" w:sz="6" w:space="0" w:color="auto"/>
            </w:tcBorders>
          </w:tcPr>
          <w:p w14:paraId="7902DE28" w14:textId="77777777" w:rsidR="00D43DC8" w:rsidRDefault="00D43DC8" w:rsidP="00E768A5">
            <w:pPr>
              <w:spacing w:before="120" w:after="120"/>
              <w:ind w:left="95" w:right="113"/>
              <w:jc w:val="right"/>
              <w:rPr>
                <w:rFonts w:ascii="Arial" w:hAnsi="Arial" w:cs="Arial"/>
                <w:b/>
                <w:bCs/>
                <w:snapToGrid w:val="0"/>
                <w:sz w:val="18"/>
              </w:rPr>
            </w:pPr>
            <w:r>
              <w:rPr>
                <w:rFonts w:ascii="Arial" w:hAnsi="Arial" w:cs="Arial"/>
                <w:b/>
                <w:bCs/>
                <w:snapToGrid w:val="0"/>
                <w:sz w:val="18"/>
              </w:rPr>
              <w:t>$1,000.00</w:t>
            </w:r>
          </w:p>
        </w:tc>
      </w:tr>
    </w:tbl>
    <w:p w14:paraId="04FDDCA7" w14:textId="77777777" w:rsidR="00D43DC8" w:rsidRDefault="00D43DC8">
      <w:pPr>
        <w:pStyle w:val="TableData"/>
      </w:pPr>
    </w:p>
    <w:p w14:paraId="1A06A566" w14:textId="77777777" w:rsidR="00D43DC8" w:rsidRDefault="00D43DC8">
      <w:pPr>
        <w:pStyle w:val="Indent1"/>
      </w:pPr>
      <w:bookmarkStart w:id="68" w:name="_Toc477170905"/>
      <w:r>
        <w:t>Indoor removal and miscellaneous works</w:t>
      </w:r>
      <w:bookmarkEnd w:id="68"/>
    </w:p>
    <w:p w14:paraId="0C03EC69" w14:textId="77777777" w:rsidR="00D43DC8" w:rsidRDefault="00D43DC8">
      <w:pPr>
        <w:pStyle w:val="Heading2"/>
      </w:pPr>
      <w:r>
        <w:t xml:space="preserve">We charge you our fee-for-service charges for any indoor removal of your service.  The fee-for-service charges are set out </w:t>
      </w:r>
      <w:r w:rsidR="00D05A1F">
        <w:t xml:space="preserve">in the </w:t>
      </w:r>
      <w:hyperlink r:id="rId18" w:history="1">
        <w:r w:rsidR="00D05A1F" w:rsidRPr="00D05A1F">
          <w:rPr>
            <w:rStyle w:val="Hyperlink"/>
          </w:rPr>
          <w:t>Fee-for-Service (Other work we do for you) section</w:t>
        </w:r>
      </w:hyperlink>
      <w:r w:rsidR="00D05A1F">
        <w:t xml:space="preserve"> of Our Customer Terms</w:t>
      </w:r>
      <w:r>
        <w:t>.</w:t>
      </w:r>
    </w:p>
    <w:p w14:paraId="0D912E05" w14:textId="77777777" w:rsidR="00D43DC8" w:rsidRDefault="00D43DC8">
      <w:pPr>
        <w:pStyle w:val="Heading1"/>
      </w:pPr>
      <w:bookmarkStart w:id="69" w:name="_Toc477170906"/>
      <w:r>
        <w:t>Performance specifications</w:t>
      </w:r>
      <w:bookmarkEnd w:id="69"/>
    </w:p>
    <w:p w14:paraId="159F404C" w14:textId="77777777" w:rsidR="00D43DC8" w:rsidRDefault="00D43DC8">
      <w:pPr>
        <w:pStyle w:val="Heading2"/>
      </w:pPr>
      <w:r>
        <w:rPr>
          <w:lang w:val="en-US"/>
        </w:rPr>
        <w:t>The engineering design rules for Ethernet MAN are listed below.  Target availability of the service is measured over a 12 month period.</w:t>
      </w:r>
    </w:p>
    <w:tbl>
      <w:tblPr>
        <w:tblW w:w="6804"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4"/>
        <w:gridCol w:w="2266"/>
        <w:gridCol w:w="2266"/>
        <w:gridCol w:w="8"/>
      </w:tblGrid>
      <w:tr w:rsidR="00D43DC8" w14:paraId="1AA47836" w14:textId="77777777">
        <w:tblPrEx>
          <w:tblCellMar>
            <w:top w:w="0" w:type="dxa"/>
            <w:bottom w:w="0" w:type="dxa"/>
          </w:tblCellMar>
        </w:tblPrEx>
        <w:trPr>
          <w:gridAfter w:val="1"/>
          <w:wAfter w:w="8" w:type="dxa"/>
          <w:trHeight w:val="525"/>
          <w:tblHeader/>
        </w:trPr>
        <w:tc>
          <w:tcPr>
            <w:tcW w:w="2264" w:type="dxa"/>
          </w:tcPr>
          <w:p w14:paraId="19726C38" w14:textId="77777777" w:rsidR="00D43DC8" w:rsidRDefault="00D43DC8">
            <w:pPr>
              <w:keepNext/>
              <w:spacing w:before="120" w:after="120"/>
              <w:jc w:val="center"/>
              <w:rPr>
                <w:rFonts w:ascii="Arial" w:hAnsi="Arial" w:cs="Arial"/>
                <w:b/>
                <w:bCs/>
                <w:iCs/>
                <w:sz w:val="18"/>
              </w:rPr>
            </w:pPr>
            <w:r>
              <w:rPr>
                <w:rFonts w:ascii="Arial" w:hAnsi="Arial" w:cs="Arial"/>
                <w:b/>
                <w:bCs/>
                <w:iCs/>
                <w:sz w:val="18"/>
              </w:rPr>
              <w:t>Ethernet MAN single uplink</w:t>
            </w:r>
          </w:p>
        </w:tc>
        <w:tc>
          <w:tcPr>
            <w:tcW w:w="2266" w:type="dxa"/>
          </w:tcPr>
          <w:p w14:paraId="55AE5431" w14:textId="77777777" w:rsidR="00D43DC8" w:rsidRDefault="00D43DC8">
            <w:pPr>
              <w:keepNext/>
              <w:spacing w:before="120" w:after="120"/>
              <w:jc w:val="center"/>
              <w:rPr>
                <w:rFonts w:ascii="Arial" w:hAnsi="Arial" w:cs="Arial"/>
                <w:iCs/>
                <w:sz w:val="18"/>
              </w:rPr>
            </w:pPr>
            <w:r>
              <w:rPr>
                <w:rFonts w:ascii="Arial" w:hAnsi="Arial" w:cs="Arial"/>
                <w:b/>
                <w:bCs/>
                <w:iCs/>
                <w:sz w:val="18"/>
              </w:rPr>
              <w:t>Ethernet MAN dual uplink</w:t>
            </w:r>
          </w:p>
        </w:tc>
        <w:tc>
          <w:tcPr>
            <w:tcW w:w="2266" w:type="dxa"/>
          </w:tcPr>
          <w:p w14:paraId="1BE0D051" w14:textId="77777777" w:rsidR="00D43DC8" w:rsidRDefault="00D43DC8">
            <w:pPr>
              <w:keepNext/>
              <w:spacing w:before="120" w:after="120"/>
              <w:jc w:val="center"/>
              <w:rPr>
                <w:rFonts w:ascii="Arial" w:hAnsi="Arial" w:cs="Arial"/>
                <w:iCs/>
                <w:sz w:val="18"/>
              </w:rPr>
            </w:pPr>
            <w:r>
              <w:rPr>
                <w:rFonts w:ascii="Arial" w:hAnsi="Arial" w:cs="Arial"/>
                <w:b/>
                <w:bCs/>
                <w:iCs/>
                <w:sz w:val="18"/>
              </w:rPr>
              <w:t>Ethernet MAN fully redundant connection</w:t>
            </w:r>
          </w:p>
        </w:tc>
      </w:tr>
      <w:tr w:rsidR="00D43DC8" w14:paraId="7975989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2264" w:type="dxa"/>
            <w:vAlign w:val="center"/>
          </w:tcPr>
          <w:p w14:paraId="32A47FB7" w14:textId="77777777" w:rsidR="00D43DC8" w:rsidRDefault="00D43DC8">
            <w:pPr>
              <w:spacing w:before="120" w:after="120"/>
              <w:jc w:val="center"/>
              <w:rPr>
                <w:rFonts w:ascii="Arial" w:eastAsia="Arial Unicode MS" w:hAnsi="Arial" w:cs="Arial"/>
                <w:sz w:val="18"/>
                <w:szCs w:val="18"/>
              </w:rPr>
            </w:pPr>
            <w:r>
              <w:rPr>
                <w:rFonts w:ascii="Arial" w:eastAsia="Arial Unicode MS" w:hAnsi="Arial" w:cs="Arial"/>
                <w:sz w:val="18"/>
                <w:szCs w:val="18"/>
              </w:rPr>
              <w:t>99.9%</w:t>
            </w:r>
          </w:p>
        </w:tc>
        <w:tc>
          <w:tcPr>
            <w:tcW w:w="2266" w:type="dxa"/>
            <w:vAlign w:val="center"/>
          </w:tcPr>
          <w:p w14:paraId="6BC46FFC" w14:textId="77777777" w:rsidR="00D43DC8" w:rsidRDefault="00D43DC8">
            <w:pPr>
              <w:spacing w:before="120" w:after="120"/>
              <w:jc w:val="center"/>
              <w:rPr>
                <w:rFonts w:ascii="Arial" w:eastAsia="Arial Unicode MS" w:hAnsi="Arial" w:cs="Arial"/>
                <w:sz w:val="18"/>
                <w:szCs w:val="18"/>
              </w:rPr>
            </w:pPr>
            <w:r>
              <w:rPr>
                <w:rFonts w:ascii="Arial" w:eastAsia="Arial Unicode MS" w:hAnsi="Arial" w:cs="Arial"/>
                <w:sz w:val="18"/>
                <w:szCs w:val="18"/>
              </w:rPr>
              <w:t>99.98%</w:t>
            </w:r>
          </w:p>
        </w:tc>
        <w:tc>
          <w:tcPr>
            <w:tcW w:w="2274" w:type="dxa"/>
            <w:gridSpan w:val="2"/>
            <w:vAlign w:val="center"/>
          </w:tcPr>
          <w:p w14:paraId="6A0914F3" w14:textId="77777777" w:rsidR="00D43DC8" w:rsidRDefault="00D43DC8">
            <w:pPr>
              <w:spacing w:before="120" w:after="120"/>
              <w:jc w:val="center"/>
              <w:rPr>
                <w:rFonts w:ascii="Arial" w:eastAsia="Arial Unicode MS" w:hAnsi="Arial" w:cs="Arial"/>
                <w:sz w:val="18"/>
                <w:szCs w:val="18"/>
              </w:rPr>
            </w:pPr>
            <w:r>
              <w:rPr>
                <w:rFonts w:ascii="Arial" w:eastAsia="Arial Unicode MS" w:hAnsi="Arial" w:cs="Arial"/>
                <w:sz w:val="18"/>
                <w:szCs w:val="18"/>
              </w:rPr>
              <w:t>99.998%</w:t>
            </w:r>
          </w:p>
        </w:tc>
      </w:tr>
    </w:tbl>
    <w:p w14:paraId="2F6C1C1F" w14:textId="77777777" w:rsidR="00D43DC8" w:rsidRDefault="00D43DC8">
      <w:pPr>
        <w:pStyle w:val="TableData"/>
        <w:rPr>
          <w:b/>
          <w:bCs/>
        </w:rPr>
      </w:pPr>
    </w:p>
    <w:p w14:paraId="617F9286" w14:textId="77777777" w:rsidR="00D43DC8" w:rsidRDefault="00D43DC8">
      <w:pPr>
        <w:pStyle w:val="Heading1"/>
      </w:pPr>
      <w:bookmarkStart w:id="70" w:name="_Toc58996132"/>
      <w:bookmarkStart w:id="71" w:name="_Toc61254560"/>
      <w:bookmarkStart w:id="72" w:name="_Toc63668399"/>
      <w:bookmarkStart w:id="73" w:name="_Toc67373820"/>
      <w:bookmarkStart w:id="74" w:name="_Toc69101294"/>
      <w:bookmarkStart w:id="75" w:name="_Toc63668389"/>
      <w:bookmarkStart w:id="76" w:name="_Toc66093936"/>
      <w:bookmarkStart w:id="77" w:name="_Toc69102167"/>
      <w:bookmarkStart w:id="78" w:name="_Toc73956426"/>
      <w:bookmarkStart w:id="79" w:name="_Toc477170907"/>
      <w:r>
        <w:t>Service Assurance</w:t>
      </w:r>
      <w:bookmarkEnd w:id="75"/>
      <w:bookmarkEnd w:id="76"/>
      <w:bookmarkEnd w:id="77"/>
      <w:bookmarkEnd w:id="78"/>
      <w:bookmarkEnd w:id="79"/>
    </w:p>
    <w:p w14:paraId="76250088" w14:textId="77777777" w:rsidR="00D43DC8" w:rsidRDefault="00D43DC8">
      <w:pPr>
        <w:pStyle w:val="Indent1"/>
      </w:pPr>
      <w:bookmarkStart w:id="80" w:name="_Toc58996125"/>
      <w:bookmarkStart w:id="81" w:name="_Toc61254553"/>
      <w:bookmarkStart w:id="82" w:name="_Toc63668392"/>
      <w:bookmarkStart w:id="83" w:name="_Toc66093939"/>
      <w:bookmarkStart w:id="84" w:name="_Toc69102168"/>
      <w:bookmarkStart w:id="85" w:name="_Toc73956427"/>
      <w:bookmarkStart w:id="86" w:name="_Toc477170908"/>
      <w:r>
        <w:t>Fault reporting and repair</w:t>
      </w:r>
      <w:bookmarkEnd w:id="80"/>
      <w:bookmarkEnd w:id="81"/>
      <w:bookmarkEnd w:id="82"/>
      <w:bookmarkEnd w:id="83"/>
      <w:bookmarkEnd w:id="84"/>
      <w:bookmarkEnd w:id="85"/>
      <w:bookmarkEnd w:id="86"/>
    </w:p>
    <w:p w14:paraId="04926A28" w14:textId="77777777" w:rsidR="00D43DC8" w:rsidRDefault="00D43DC8">
      <w:pPr>
        <w:pStyle w:val="Heading2"/>
      </w:pPr>
      <w:r>
        <w:t>As part of the Ethernet MAN service, we also provide:</w:t>
      </w:r>
    </w:p>
    <w:p w14:paraId="7FFF20AC" w14:textId="77777777" w:rsidR="00D43DC8" w:rsidRDefault="00D43DC8">
      <w:pPr>
        <w:pStyle w:val="Heading3"/>
      </w:pPr>
      <w:r>
        <w:t>a 24-hour fault reporting service for telling us about service faults; and</w:t>
      </w:r>
    </w:p>
    <w:p w14:paraId="799563C3" w14:textId="77777777" w:rsidR="00D43DC8" w:rsidRDefault="00D43DC8">
      <w:pPr>
        <w:pStyle w:val="Heading3"/>
        <w:rPr>
          <w:iCs/>
        </w:rPr>
      </w:pPr>
      <w:r>
        <w:t xml:space="preserve">a 24-hour </w:t>
      </w:r>
      <w:r>
        <w:rPr>
          <w:iCs/>
        </w:rPr>
        <w:t>maintenance and repair service for service faults</w:t>
      </w:r>
      <w:r>
        <w:t>, including public holidays.</w:t>
      </w:r>
    </w:p>
    <w:p w14:paraId="732124A6" w14:textId="77777777" w:rsidR="00D43DC8" w:rsidRDefault="00D43DC8">
      <w:pPr>
        <w:pStyle w:val="Heading2"/>
      </w:pPr>
      <w:r>
        <w:t xml:space="preserve">The monthly service charge covers maintenance up to our network boundary and, where applicable, of the network termination unit only.  Maintenance of any telecommunications cabling on your premises (ie cabling beyond the network </w:t>
      </w:r>
      <w:r>
        <w:lastRenderedPageBreak/>
        <w:t>boundary point) or any telecommunications equipment owned or used by you is not included.</w:t>
      </w:r>
    </w:p>
    <w:p w14:paraId="5987FB66" w14:textId="77777777" w:rsidR="00D43DC8" w:rsidRDefault="00D43DC8">
      <w:pPr>
        <w:pStyle w:val="Indent1"/>
      </w:pPr>
      <w:bookmarkStart w:id="87" w:name="_Toc58996126"/>
      <w:bookmarkStart w:id="88" w:name="_Toc61254554"/>
      <w:bookmarkStart w:id="89" w:name="_Toc63668393"/>
      <w:bookmarkStart w:id="90" w:name="_Toc66093940"/>
      <w:bookmarkStart w:id="91" w:name="_Toc69102169"/>
      <w:bookmarkStart w:id="92" w:name="_Toc73956428"/>
      <w:bookmarkStart w:id="93" w:name="_Toc477170909"/>
      <w:r>
        <w:t>Target response and repair times</w:t>
      </w:r>
      <w:bookmarkEnd w:id="87"/>
      <w:bookmarkEnd w:id="88"/>
      <w:bookmarkEnd w:id="89"/>
      <w:bookmarkEnd w:id="90"/>
      <w:bookmarkEnd w:id="91"/>
      <w:bookmarkEnd w:id="92"/>
      <w:bookmarkEnd w:id="93"/>
    </w:p>
    <w:p w14:paraId="50C46513" w14:textId="77777777" w:rsidR="00D43DC8" w:rsidRDefault="00D43DC8">
      <w:pPr>
        <w:pStyle w:val="Heading2"/>
      </w:pPr>
      <w:r>
        <w:t>Our target response and repair times only apply to service faults within our mainte</w:t>
      </w:r>
      <w:r>
        <w:t>nance responsibilities.</w:t>
      </w:r>
    </w:p>
    <w:p w14:paraId="19666EC2" w14:textId="77777777" w:rsidR="00D43DC8" w:rsidRDefault="00D43DC8">
      <w:pPr>
        <w:pStyle w:val="Heading2"/>
      </w:pPr>
      <w:r>
        <w:t>If there is a fault in your service we aim to respond to you within one hour of you telling us about the fault.  You receive a response from us when we tell you that we have started action to identify the fault.</w:t>
      </w:r>
    </w:p>
    <w:p w14:paraId="09B3CEB0" w14:textId="77777777" w:rsidR="00D43DC8" w:rsidRDefault="00D43DC8">
      <w:pPr>
        <w:pStyle w:val="Heading2"/>
      </w:pPr>
      <w:r>
        <w:t>If there is a fault in your service, we aim to repair your service to full working order within 12 hours of you telling us about the fault.</w:t>
      </w:r>
    </w:p>
    <w:p w14:paraId="520CF0FB" w14:textId="77777777" w:rsidR="00D43DC8" w:rsidRDefault="00D43DC8">
      <w:pPr>
        <w:pStyle w:val="Indent1"/>
      </w:pPr>
      <w:bookmarkStart w:id="94" w:name="_Toc58996127"/>
      <w:bookmarkStart w:id="95" w:name="_Toc61254555"/>
      <w:bookmarkStart w:id="96" w:name="_Toc63668394"/>
      <w:bookmarkStart w:id="97" w:name="_Toc66093941"/>
      <w:bookmarkStart w:id="98" w:name="_Toc69102170"/>
      <w:bookmarkStart w:id="99" w:name="_Toc73956429"/>
      <w:bookmarkStart w:id="100" w:name="_Toc477170910"/>
      <w:r>
        <w:t>Temporary repairs</w:t>
      </w:r>
      <w:bookmarkEnd w:id="94"/>
      <w:bookmarkEnd w:id="95"/>
      <w:bookmarkEnd w:id="96"/>
      <w:bookmarkEnd w:id="97"/>
      <w:bookmarkEnd w:id="98"/>
      <w:bookmarkEnd w:id="99"/>
      <w:bookmarkEnd w:id="100"/>
    </w:p>
    <w:p w14:paraId="5585AC1E" w14:textId="77777777" w:rsidR="00D43DC8" w:rsidRDefault="00D43DC8">
      <w:pPr>
        <w:pStyle w:val="Heading2"/>
      </w:pPr>
      <w:r>
        <w:t>In some cases, we may perform a temporary repair, so that you can use the service before we finish a full repair.  A temporary repair that lets you use the service counts as a repair for the purposes of working out our service repair obligations to you.</w:t>
      </w:r>
    </w:p>
    <w:p w14:paraId="0428DA10" w14:textId="77777777" w:rsidR="00D43DC8" w:rsidRDefault="00D43DC8">
      <w:pPr>
        <w:pStyle w:val="Indent1"/>
      </w:pPr>
      <w:bookmarkStart w:id="101" w:name="_Toc58996128"/>
      <w:bookmarkStart w:id="102" w:name="_Toc61254556"/>
      <w:bookmarkStart w:id="103" w:name="_Toc63668395"/>
      <w:bookmarkStart w:id="104" w:name="_Toc66093942"/>
      <w:bookmarkStart w:id="105" w:name="_Toc69102171"/>
      <w:bookmarkStart w:id="106" w:name="_Toc73956430"/>
      <w:bookmarkStart w:id="107" w:name="_Toc477170911"/>
      <w:r>
        <w:t>Emergency repairs</w:t>
      </w:r>
      <w:bookmarkEnd w:id="101"/>
      <w:bookmarkEnd w:id="102"/>
      <w:bookmarkEnd w:id="103"/>
      <w:bookmarkEnd w:id="104"/>
      <w:bookmarkEnd w:id="105"/>
      <w:bookmarkEnd w:id="106"/>
      <w:bookmarkEnd w:id="107"/>
    </w:p>
    <w:p w14:paraId="2E423F27" w14:textId="77777777" w:rsidR="00D43DC8" w:rsidRDefault="00D43DC8">
      <w:pPr>
        <w:pStyle w:val="Heading2"/>
      </w:pPr>
      <w:r>
        <w:t>We give priority to rectifying major fault outages affecting a number of customers.  If such cases arise, we may not meet our targets for repairing your service.</w:t>
      </w:r>
    </w:p>
    <w:p w14:paraId="3E7D7C82" w14:textId="77777777" w:rsidR="00D43DC8" w:rsidRDefault="00D43DC8">
      <w:pPr>
        <w:pStyle w:val="Indent1"/>
      </w:pPr>
      <w:bookmarkStart w:id="108" w:name="_Toc58996129"/>
      <w:bookmarkStart w:id="109" w:name="_Toc61254557"/>
      <w:bookmarkStart w:id="110" w:name="_Toc63668396"/>
      <w:bookmarkStart w:id="111" w:name="_Toc66093943"/>
      <w:bookmarkStart w:id="112" w:name="_Toc69102172"/>
      <w:bookmarkStart w:id="113" w:name="_Toc73956431"/>
      <w:bookmarkStart w:id="114" w:name="_Toc477170912"/>
      <w:r>
        <w:t>Faults caused by interference or you</w:t>
      </w:r>
      <w:bookmarkEnd w:id="108"/>
      <w:bookmarkEnd w:id="109"/>
      <w:bookmarkEnd w:id="110"/>
      <w:bookmarkEnd w:id="111"/>
      <w:bookmarkEnd w:id="112"/>
      <w:bookmarkEnd w:id="113"/>
      <w:bookmarkEnd w:id="114"/>
    </w:p>
    <w:p w14:paraId="6F1E49AF" w14:textId="77777777" w:rsidR="00D43DC8" w:rsidRDefault="00D43DC8">
      <w:pPr>
        <w:pStyle w:val="Heading2"/>
      </w:pPr>
      <w:r>
        <w:t>We can charge you to repair the following faults:</w:t>
      </w:r>
    </w:p>
    <w:p w14:paraId="77FDC332" w14:textId="77777777" w:rsidR="00D43DC8" w:rsidRDefault="00D43DC8">
      <w:pPr>
        <w:pStyle w:val="Heading3"/>
      </w:pPr>
      <w:r>
        <w:t>faults caused by interference;</w:t>
      </w:r>
    </w:p>
    <w:p w14:paraId="5D36427C" w14:textId="77777777" w:rsidR="00D43DC8" w:rsidRDefault="00D43DC8">
      <w:pPr>
        <w:pStyle w:val="Heading3"/>
      </w:pPr>
      <w:r>
        <w:t>faults caused by your negligence; and</w:t>
      </w:r>
    </w:p>
    <w:p w14:paraId="05A1697D" w14:textId="77777777" w:rsidR="00D43DC8" w:rsidRDefault="00D43DC8">
      <w:pPr>
        <w:pStyle w:val="Heading3"/>
      </w:pPr>
      <w:r>
        <w:t>faults caused due to wilful damage by you to your Ethernet MAN service.</w:t>
      </w:r>
    </w:p>
    <w:p w14:paraId="1C589D1B" w14:textId="77777777" w:rsidR="00D43DC8" w:rsidRDefault="00D43DC8">
      <w:pPr>
        <w:pStyle w:val="Indent1"/>
      </w:pPr>
      <w:bookmarkStart w:id="115" w:name="_Toc58996130"/>
      <w:bookmarkStart w:id="116" w:name="_Toc61254558"/>
      <w:bookmarkStart w:id="117" w:name="_Toc63668397"/>
      <w:bookmarkStart w:id="118" w:name="_Toc66093944"/>
      <w:bookmarkStart w:id="119" w:name="_Toc69102173"/>
      <w:bookmarkStart w:id="120" w:name="_Toc73956432"/>
      <w:bookmarkStart w:id="121" w:name="_Toc477170913"/>
      <w:r>
        <w:t>Service appointment times</w:t>
      </w:r>
      <w:bookmarkEnd w:id="115"/>
      <w:bookmarkEnd w:id="116"/>
      <w:bookmarkEnd w:id="117"/>
      <w:bookmarkEnd w:id="118"/>
      <w:bookmarkEnd w:id="119"/>
      <w:bookmarkEnd w:id="120"/>
      <w:bookmarkEnd w:id="121"/>
    </w:p>
    <w:p w14:paraId="0E8FCD3C" w14:textId="77777777" w:rsidR="00D43DC8" w:rsidRDefault="00D43DC8">
      <w:pPr>
        <w:pStyle w:val="Heading2"/>
      </w:pPr>
      <w:r>
        <w:t>We will agree service appointment times for restoring and repairing faulty services with you.</w:t>
      </w:r>
    </w:p>
    <w:p w14:paraId="3DC121A8" w14:textId="77777777" w:rsidR="00F551DD" w:rsidRDefault="00F551DD" w:rsidP="00F551DD">
      <w:pPr>
        <w:pStyle w:val="Indent1"/>
      </w:pPr>
      <w:bookmarkStart w:id="122" w:name="_Toc122754222"/>
      <w:bookmarkStart w:id="123" w:name="_Toc477170914"/>
      <w:r>
        <w:t>Customer Select Assurance and Maintenance Options</w:t>
      </w:r>
      <w:bookmarkEnd w:id="122"/>
      <w:bookmarkEnd w:id="123"/>
    </w:p>
    <w:p w14:paraId="3534FFFA" w14:textId="77777777" w:rsidR="00F551DD" w:rsidRDefault="00F551DD" w:rsidP="00F551DD">
      <w:pPr>
        <w:pStyle w:val="Heading2"/>
      </w:pPr>
      <w:r>
        <w:t xml:space="preserve">Enhanced service assurance options may be available at an additional cost to you.  These offer faster response and repair targets for faults.  For information in relation to our Customer Select Assurance and Maintenance Options, see the </w:t>
      </w:r>
      <w:hyperlink r:id="rId19" w:history="1">
        <w:r>
          <w:rPr>
            <w:rStyle w:val="Hyperlink"/>
          </w:rPr>
          <w:t>Service</w:t>
        </w:r>
        <w:r>
          <w:rPr>
            <w:rStyle w:val="Hyperlink"/>
          </w:rPr>
          <w:t xml:space="preserve"> </w:t>
        </w:r>
        <w:r>
          <w:rPr>
            <w:rStyle w:val="Hyperlink"/>
          </w:rPr>
          <w:t>A</w:t>
        </w:r>
        <w:r>
          <w:rPr>
            <w:rStyle w:val="Hyperlink"/>
          </w:rPr>
          <w:t>s</w:t>
        </w:r>
        <w:r>
          <w:rPr>
            <w:rStyle w:val="Hyperlink"/>
          </w:rPr>
          <w:t>s</w:t>
        </w:r>
        <w:r>
          <w:rPr>
            <w:rStyle w:val="Hyperlink"/>
          </w:rPr>
          <w:t>urance and Provisioning Commit</w:t>
        </w:r>
        <w:r>
          <w:rPr>
            <w:rStyle w:val="Hyperlink"/>
          </w:rPr>
          <w:t>m</w:t>
        </w:r>
        <w:r>
          <w:rPr>
            <w:rStyle w:val="Hyperlink"/>
          </w:rPr>
          <w:t>e</w:t>
        </w:r>
        <w:r>
          <w:rPr>
            <w:rStyle w:val="Hyperlink"/>
          </w:rPr>
          <w:t>nt section</w:t>
        </w:r>
      </w:hyperlink>
      <w:r>
        <w:t xml:space="preserve"> of Our </w:t>
      </w:r>
      <w:r>
        <w:t>Customer Terms</w:t>
      </w:r>
      <w:r>
        <w:t>.</w:t>
      </w:r>
    </w:p>
    <w:p w14:paraId="4D4CDA68" w14:textId="77777777" w:rsidR="00D43DC8" w:rsidRDefault="00D43DC8">
      <w:pPr>
        <w:pStyle w:val="Heading1"/>
      </w:pPr>
      <w:bookmarkStart w:id="124" w:name="_Toc73956434"/>
      <w:bookmarkStart w:id="125" w:name="_Toc477170915"/>
      <w:r>
        <w:lastRenderedPageBreak/>
        <w:t xml:space="preserve">Other work </w:t>
      </w:r>
      <w:bookmarkStart w:id="126" w:name="Otherworkwedo"/>
      <w:bookmarkEnd w:id="126"/>
      <w:r>
        <w:t>we do for you</w:t>
      </w:r>
      <w:bookmarkEnd w:id="70"/>
      <w:bookmarkEnd w:id="71"/>
      <w:bookmarkEnd w:id="72"/>
      <w:bookmarkEnd w:id="73"/>
      <w:bookmarkEnd w:id="74"/>
      <w:bookmarkEnd w:id="124"/>
      <w:bookmarkEnd w:id="125"/>
    </w:p>
    <w:p w14:paraId="1863B7A7" w14:textId="77777777" w:rsidR="00D43DC8" w:rsidRDefault="00D43DC8">
      <w:pPr>
        <w:pStyle w:val="Heading2"/>
      </w:pPr>
      <w:r>
        <w:t>The standard network connection charge for service activation includes work performed during our standard hours of business, which are 8am to 5pm, Monday to Friday, excluding public holidays.</w:t>
      </w:r>
    </w:p>
    <w:p w14:paraId="44893C69" w14:textId="77777777" w:rsidR="00D43DC8" w:rsidRDefault="00D05A1F">
      <w:pPr>
        <w:pStyle w:val="Heading2"/>
      </w:pPr>
      <w:r>
        <w:t>For charges for installation, maintenance, consultancy and after sales activities not covered by a standard charge or contract see “Our Customer Terms Fee-for-service (Other work we do for you)”</w:t>
      </w:r>
      <w:r w:rsidR="00D43DC8">
        <w:t>.</w:t>
      </w:r>
    </w:p>
    <w:p w14:paraId="5FDF7191" w14:textId="77777777" w:rsidR="00D43DC8" w:rsidRDefault="00D43DC8">
      <w:pPr>
        <w:pStyle w:val="Heading1"/>
      </w:pPr>
      <w:bookmarkStart w:id="127" w:name="_Toc477170916"/>
      <w:r>
        <w:t>Charging zones</w:t>
      </w:r>
      <w:bookmarkEnd w:id="127"/>
    </w:p>
    <w:p w14:paraId="1A14B752" w14:textId="77777777" w:rsidR="00D43DC8" w:rsidRDefault="00D43DC8">
      <w:pPr>
        <w:pStyle w:val="Heading2"/>
      </w:pPr>
      <w:r>
        <w:t>The various zones refer to our exchange districts in a metropolitan area.</w:t>
      </w:r>
    </w:p>
    <w:p w14:paraId="27C990FE" w14:textId="77777777" w:rsidR="00D43DC8" w:rsidRDefault="006C24F4">
      <w:pPr>
        <w:pStyle w:val="Heading2"/>
      </w:pPr>
      <w:bookmarkStart w:id="128" w:name="_Ref325724255"/>
      <w:r w:rsidRPr="002062E6">
        <w:t>If you apply for an Ethernet MAN service before 1 June 2012, the charges you pay for your service are based on the following zones, as defined in t</w:t>
      </w:r>
      <w:r>
        <w:t>his Ethernet MAN section:</w:t>
      </w:r>
      <w:bookmarkEnd w:id="128"/>
    </w:p>
    <w:p w14:paraId="7ACC2FB2" w14:textId="77777777" w:rsidR="00D43DC8" w:rsidRDefault="00D43DC8">
      <w:pPr>
        <w:pStyle w:val="Heading3"/>
      </w:pPr>
      <w:r>
        <w:t>central business district (CBD) zone;</w:t>
      </w:r>
    </w:p>
    <w:p w14:paraId="064EAE30" w14:textId="77777777" w:rsidR="00D43DC8" w:rsidRDefault="00D43DC8">
      <w:pPr>
        <w:pStyle w:val="Heading3"/>
      </w:pPr>
      <w:r>
        <w:t>business zone; and</w:t>
      </w:r>
    </w:p>
    <w:p w14:paraId="137D17EB" w14:textId="77777777" w:rsidR="00D43DC8" w:rsidRDefault="00D43DC8">
      <w:pPr>
        <w:pStyle w:val="Heading3"/>
      </w:pPr>
      <w:r>
        <w:t>metropolitan or metro zone.</w:t>
      </w:r>
    </w:p>
    <w:p w14:paraId="410B59DA" w14:textId="77777777" w:rsidR="006C24F4" w:rsidRDefault="006C24F4" w:rsidP="006C24F4">
      <w:pPr>
        <w:pStyle w:val="Heading2"/>
      </w:pPr>
      <w:bookmarkStart w:id="129" w:name="_Ref325724256"/>
      <w:r w:rsidRPr="002062E6">
        <w:t>If you apply for a</w:t>
      </w:r>
      <w:r>
        <w:t xml:space="preserve">n Ethernet MAN </w:t>
      </w:r>
      <w:r w:rsidRPr="002062E6">
        <w:t>service on and from 1 June 2012, the charges you pay for your service are based on the zone advised to you when you apply for the service, and from time to time</w:t>
      </w:r>
      <w:r>
        <w:t>.</w:t>
      </w:r>
      <w:bookmarkEnd w:id="129"/>
    </w:p>
    <w:p w14:paraId="6B82E4F9" w14:textId="77777777" w:rsidR="00D43DC8" w:rsidRDefault="00D43DC8">
      <w:pPr>
        <w:pStyle w:val="Indent1"/>
      </w:pPr>
      <w:bookmarkStart w:id="130" w:name="_Toc477170917"/>
      <w:r>
        <w:t>Central business district zones</w:t>
      </w:r>
      <w:bookmarkEnd w:id="130"/>
    </w:p>
    <w:p w14:paraId="17970A10" w14:textId="77777777" w:rsidR="00D43DC8" w:rsidRDefault="00D43DC8">
      <w:pPr>
        <w:pStyle w:val="Heading2"/>
      </w:pPr>
      <w:r>
        <w:t>The central business district zones are set out in the following table:</w:t>
      </w:r>
    </w:p>
    <w:tbl>
      <w:tblPr>
        <w:tblpPr w:leftFromText="180" w:rightFromText="180" w:vertAnchor="text" w:tblpXSpec="right" w:tblpY="1"/>
        <w:tblOverlap w:val="never"/>
        <w:tblW w:w="8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15"/>
        <w:gridCol w:w="5848"/>
      </w:tblGrid>
      <w:tr w:rsidR="00D43DC8" w14:paraId="2D034362" w14:textId="77777777">
        <w:tblPrEx>
          <w:tblCellMar>
            <w:top w:w="0" w:type="dxa"/>
            <w:bottom w:w="0" w:type="dxa"/>
          </w:tblCellMar>
        </w:tblPrEx>
        <w:trPr>
          <w:trHeight w:val="262"/>
          <w:tblHeader/>
        </w:trPr>
        <w:tc>
          <w:tcPr>
            <w:tcW w:w="8263" w:type="dxa"/>
            <w:gridSpan w:val="2"/>
          </w:tcPr>
          <w:p w14:paraId="1869C6FB" w14:textId="77777777" w:rsidR="00D43DC8" w:rsidRDefault="00D43DC8" w:rsidP="00C645DD">
            <w:pPr>
              <w:keepNext/>
              <w:spacing w:before="120" w:after="120"/>
              <w:ind w:firstLine="85"/>
              <w:rPr>
                <w:rFonts w:ascii="Arial" w:hAnsi="Arial" w:cs="Arial"/>
                <w:b/>
                <w:bCs/>
                <w:snapToGrid w:val="0"/>
                <w:color w:val="000000"/>
                <w:sz w:val="18"/>
              </w:rPr>
            </w:pPr>
            <w:r>
              <w:rPr>
                <w:rFonts w:ascii="Arial" w:hAnsi="Arial" w:cs="Arial"/>
                <w:b/>
                <w:bCs/>
                <w:snapToGrid w:val="0"/>
                <w:color w:val="000000"/>
                <w:sz w:val="18"/>
              </w:rPr>
              <w:lastRenderedPageBreak/>
              <w:t>Central business district zone exchange districts</w:t>
            </w:r>
          </w:p>
        </w:tc>
      </w:tr>
      <w:tr w:rsidR="00D43DC8" w14:paraId="214439AD" w14:textId="77777777">
        <w:tblPrEx>
          <w:tblCellMar>
            <w:top w:w="0" w:type="dxa"/>
            <w:bottom w:w="0" w:type="dxa"/>
          </w:tblCellMar>
        </w:tblPrEx>
        <w:trPr>
          <w:trHeight w:val="262"/>
        </w:trPr>
        <w:tc>
          <w:tcPr>
            <w:tcW w:w="2415" w:type="dxa"/>
          </w:tcPr>
          <w:p w14:paraId="713CC2EB" w14:textId="77777777" w:rsidR="00D43DC8" w:rsidRDefault="00D43DC8" w:rsidP="00C645DD">
            <w:pPr>
              <w:spacing w:before="120" w:after="120"/>
              <w:ind w:left="85"/>
              <w:rPr>
                <w:rFonts w:ascii="Arial" w:hAnsi="Arial" w:cs="Arial"/>
                <w:snapToGrid w:val="0"/>
                <w:color w:val="000000"/>
                <w:sz w:val="18"/>
              </w:rPr>
            </w:pPr>
            <w:smartTag w:uri="urn:schemas-microsoft-com:office:smarttags" w:element="City">
              <w:smartTag w:uri="urn:schemas-microsoft-com:office:smarttags" w:element="place">
                <w:r>
                  <w:rPr>
                    <w:rFonts w:ascii="Arial" w:hAnsi="Arial" w:cs="Arial"/>
                    <w:snapToGrid w:val="0"/>
                    <w:color w:val="000000"/>
                    <w:sz w:val="18"/>
                  </w:rPr>
                  <w:t>Sydne</w:t>
                </w:r>
                <w:r>
                  <w:rPr>
                    <w:rFonts w:ascii="Arial" w:hAnsi="Arial" w:cs="Arial"/>
                    <w:snapToGrid w:val="0"/>
                    <w:color w:val="000000"/>
                    <w:sz w:val="18"/>
                  </w:rPr>
                  <w:t>y</w:t>
                </w:r>
              </w:smartTag>
            </w:smartTag>
            <w:r>
              <w:rPr>
                <w:rFonts w:ascii="Arial" w:hAnsi="Arial" w:cs="Arial"/>
                <w:snapToGrid w:val="0"/>
                <w:color w:val="000000"/>
                <w:sz w:val="18"/>
              </w:rPr>
              <w:t xml:space="preserve">: </w:t>
            </w:r>
          </w:p>
        </w:tc>
        <w:tc>
          <w:tcPr>
            <w:tcW w:w="5848" w:type="dxa"/>
          </w:tcPr>
          <w:p w14:paraId="430E93AD" w14:textId="77777777" w:rsidR="00D43DC8" w:rsidRDefault="00D43DC8" w:rsidP="00C645DD">
            <w:pPr>
              <w:spacing w:before="120" w:after="120"/>
              <w:ind w:left="85"/>
              <w:rPr>
                <w:rFonts w:ascii="Arial" w:hAnsi="Arial" w:cs="Arial"/>
                <w:snapToGrid w:val="0"/>
                <w:color w:val="000000"/>
                <w:sz w:val="18"/>
              </w:rPr>
            </w:pPr>
            <w:r>
              <w:rPr>
                <w:rFonts w:ascii="Arial" w:hAnsi="Arial" w:cs="Arial"/>
                <w:snapToGrid w:val="0"/>
                <w:color w:val="000000"/>
                <w:sz w:val="18"/>
              </w:rPr>
              <w:t xml:space="preserve">Pitt, Haymarket, City South, </w:t>
            </w:r>
            <w:smartTag w:uri="urn:schemas-microsoft-com:office:smarttags" w:element="country-region">
              <w:r>
                <w:rPr>
                  <w:rFonts w:ascii="Arial" w:hAnsi="Arial" w:cs="Arial"/>
                  <w:snapToGrid w:val="0"/>
                  <w:color w:val="000000"/>
                  <w:sz w:val="18"/>
                </w:rPr>
                <w:t>Kent</w:t>
              </w:r>
            </w:smartTag>
            <w:r>
              <w:rPr>
                <w:rFonts w:ascii="Arial" w:hAnsi="Arial" w:cs="Arial"/>
                <w:snapToGrid w:val="0"/>
                <w:color w:val="000000"/>
                <w:sz w:val="18"/>
              </w:rPr>
              <w:t xml:space="preserve">, Dalley, </w:t>
            </w:r>
            <w:smartTag w:uri="urn:schemas-microsoft-com:office:smarttags" w:element="place">
              <w:r>
                <w:rPr>
                  <w:rFonts w:ascii="Arial" w:hAnsi="Arial" w:cs="Arial"/>
                  <w:snapToGrid w:val="0"/>
                  <w:color w:val="000000"/>
                  <w:sz w:val="18"/>
                </w:rPr>
                <w:t>North Sydney</w:t>
              </w:r>
            </w:smartTag>
            <w:r>
              <w:rPr>
                <w:rFonts w:ascii="Arial" w:hAnsi="Arial" w:cs="Arial"/>
                <w:snapToGrid w:val="0"/>
                <w:color w:val="000000"/>
                <w:sz w:val="18"/>
              </w:rPr>
              <w:t>, Balmain, City East, Redfern</w:t>
            </w:r>
          </w:p>
        </w:tc>
      </w:tr>
      <w:tr w:rsidR="00D43DC8" w14:paraId="37F5C07B" w14:textId="77777777">
        <w:tblPrEx>
          <w:tblCellMar>
            <w:top w:w="0" w:type="dxa"/>
            <w:bottom w:w="0" w:type="dxa"/>
          </w:tblCellMar>
        </w:tblPrEx>
        <w:trPr>
          <w:trHeight w:val="262"/>
        </w:trPr>
        <w:tc>
          <w:tcPr>
            <w:tcW w:w="2415" w:type="dxa"/>
          </w:tcPr>
          <w:p w14:paraId="516575EB" w14:textId="77777777" w:rsidR="00D43DC8" w:rsidRDefault="00D43DC8" w:rsidP="00C645DD">
            <w:pPr>
              <w:spacing w:before="120" w:after="120"/>
              <w:ind w:left="85"/>
              <w:rPr>
                <w:rFonts w:ascii="Arial" w:hAnsi="Arial" w:cs="Arial"/>
                <w:snapToGrid w:val="0"/>
                <w:color w:val="000000"/>
                <w:sz w:val="18"/>
              </w:rPr>
            </w:pPr>
            <w:smartTag w:uri="urn:schemas-microsoft-com:office:smarttags" w:element="City">
              <w:smartTag w:uri="urn:schemas-microsoft-com:office:smarttags" w:element="place">
                <w:r>
                  <w:rPr>
                    <w:rFonts w:ascii="Arial" w:hAnsi="Arial" w:cs="Arial"/>
                    <w:snapToGrid w:val="0"/>
                    <w:color w:val="000000"/>
                    <w:sz w:val="18"/>
                  </w:rPr>
                  <w:t>Melbourne</w:t>
                </w:r>
              </w:smartTag>
            </w:smartTag>
            <w:r>
              <w:rPr>
                <w:rFonts w:ascii="Arial" w:hAnsi="Arial" w:cs="Arial"/>
                <w:snapToGrid w:val="0"/>
                <w:color w:val="000000"/>
                <w:sz w:val="18"/>
              </w:rPr>
              <w:t xml:space="preserve">: </w:t>
            </w:r>
          </w:p>
        </w:tc>
        <w:tc>
          <w:tcPr>
            <w:tcW w:w="5848" w:type="dxa"/>
          </w:tcPr>
          <w:p w14:paraId="3C698A91" w14:textId="77777777" w:rsidR="00D43DC8" w:rsidRDefault="00D43DC8" w:rsidP="00C645DD">
            <w:pPr>
              <w:spacing w:before="120" w:after="120"/>
              <w:ind w:left="85"/>
              <w:rPr>
                <w:rFonts w:ascii="Arial" w:hAnsi="Arial" w:cs="Arial"/>
                <w:snapToGrid w:val="0"/>
                <w:color w:val="000000"/>
                <w:sz w:val="18"/>
              </w:rPr>
            </w:pPr>
            <w:r>
              <w:rPr>
                <w:rFonts w:ascii="Arial" w:hAnsi="Arial" w:cs="Arial"/>
                <w:snapToGrid w:val="0"/>
                <w:color w:val="000000"/>
                <w:sz w:val="18"/>
              </w:rPr>
              <w:t xml:space="preserve">Batman, Exhibition, Lonsdale, Russell, North Melbourne, Windsor, </w:t>
            </w:r>
            <w:smartTag w:uri="urn:schemas-microsoft-com:office:smarttags" w:element="place">
              <w:r>
                <w:rPr>
                  <w:rFonts w:ascii="Arial" w:hAnsi="Arial" w:cs="Arial"/>
                  <w:snapToGrid w:val="0"/>
                  <w:color w:val="000000"/>
                  <w:sz w:val="18"/>
                </w:rPr>
                <w:t>South Melbourne</w:t>
              </w:r>
            </w:smartTag>
          </w:p>
        </w:tc>
      </w:tr>
      <w:tr w:rsidR="00D43DC8" w14:paraId="3A029726" w14:textId="77777777">
        <w:tblPrEx>
          <w:tblCellMar>
            <w:top w:w="0" w:type="dxa"/>
            <w:bottom w:w="0" w:type="dxa"/>
          </w:tblCellMar>
        </w:tblPrEx>
        <w:trPr>
          <w:trHeight w:val="262"/>
        </w:trPr>
        <w:tc>
          <w:tcPr>
            <w:tcW w:w="2415" w:type="dxa"/>
          </w:tcPr>
          <w:p w14:paraId="69E6066C" w14:textId="77777777" w:rsidR="00D43DC8" w:rsidRDefault="00D43DC8" w:rsidP="00C645DD">
            <w:pPr>
              <w:spacing w:before="120" w:after="120"/>
              <w:ind w:left="85"/>
              <w:rPr>
                <w:rFonts w:ascii="Arial" w:hAnsi="Arial" w:cs="Arial"/>
                <w:snapToGrid w:val="0"/>
                <w:color w:val="000000"/>
                <w:sz w:val="18"/>
              </w:rPr>
            </w:pPr>
            <w:smartTag w:uri="urn:schemas-microsoft-com:office:smarttags" w:element="City">
              <w:smartTag w:uri="urn:schemas-microsoft-com:office:smarttags" w:element="place">
                <w:r>
                  <w:rPr>
                    <w:rFonts w:ascii="Arial" w:hAnsi="Arial" w:cs="Arial"/>
                    <w:snapToGrid w:val="0"/>
                    <w:color w:val="000000"/>
                    <w:sz w:val="18"/>
                  </w:rPr>
                  <w:t>Brisbane</w:t>
                </w:r>
              </w:smartTag>
            </w:smartTag>
            <w:r>
              <w:rPr>
                <w:rFonts w:ascii="Arial" w:hAnsi="Arial" w:cs="Arial"/>
                <w:snapToGrid w:val="0"/>
                <w:color w:val="000000"/>
                <w:sz w:val="18"/>
              </w:rPr>
              <w:t xml:space="preserve">: </w:t>
            </w:r>
          </w:p>
        </w:tc>
        <w:tc>
          <w:tcPr>
            <w:tcW w:w="5848" w:type="dxa"/>
          </w:tcPr>
          <w:p w14:paraId="389151F9" w14:textId="77777777" w:rsidR="00D43DC8" w:rsidRDefault="00D43DC8" w:rsidP="00C645DD">
            <w:pPr>
              <w:spacing w:before="120" w:after="120"/>
              <w:ind w:left="85"/>
              <w:rPr>
                <w:rFonts w:ascii="Arial" w:hAnsi="Arial" w:cs="Arial"/>
                <w:snapToGrid w:val="0"/>
                <w:color w:val="000000"/>
                <w:sz w:val="18"/>
              </w:rPr>
            </w:pPr>
            <w:r>
              <w:rPr>
                <w:rFonts w:ascii="Arial" w:hAnsi="Arial" w:cs="Arial"/>
                <w:snapToGrid w:val="0"/>
                <w:color w:val="000000"/>
                <w:sz w:val="18"/>
              </w:rPr>
              <w:t xml:space="preserve">Edison, </w:t>
            </w:r>
            <w:smartTag w:uri="urn:schemas-microsoft-com:office:smarttags" w:element="City">
              <w:r>
                <w:rPr>
                  <w:rFonts w:ascii="Arial" w:hAnsi="Arial" w:cs="Arial"/>
                  <w:snapToGrid w:val="0"/>
                  <w:color w:val="000000"/>
                  <w:sz w:val="18"/>
                </w:rPr>
                <w:t>Charlotte</w:t>
              </w:r>
            </w:smartTag>
            <w:r>
              <w:rPr>
                <w:rFonts w:ascii="Arial" w:hAnsi="Arial" w:cs="Arial"/>
                <w:snapToGrid w:val="0"/>
                <w:color w:val="000000"/>
                <w:sz w:val="18"/>
              </w:rPr>
              <w:t xml:space="preserve">, Springhill, Roma, Woolloongabba, Valley, Paddington, </w:t>
            </w:r>
            <w:smartTag w:uri="urn:schemas-microsoft-com:office:smarttags" w:element="place">
              <w:r>
                <w:rPr>
                  <w:rFonts w:ascii="Arial" w:hAnsi="Arial" w:cs="Arial"/>
                  <w:snapToGrid w:val="0"/>
                  <w:color w:val="000000"/>
                  <w:sz w:val="18"/>
                </w:rPr>
                <w:t>South Brisbane</w:t>
              </w:r>
            </w:smartTag>
            <w:r>
              <w:rPr>
                <w:rFonts w:ascii="Arial" w:hAnsi="Arial" w:cs="Arial"/>
                <w:snapToGrid w:val="0"/>
                <w:color w:val="000000"/>
                <w:sz w:val="18"/>
              </w:rPr>
              <w:t xml:space="preserve">, Toowong </w:t>
            </w:r>
          </w:p>
        </w:tc>
      </w:tr>
      <w:tr w:rsidR="00D43DC8" w14:paraId="3B78EFAE" w14:textId="77777777">
        <w:tblPrEx>
          <w:tblCellMar>
            <w:top w:w="0" w:type="dxa"/>
            <w:bottom w:w="0" w:type="dxa"/>
          </w:tblCellMar>
        </w:tblPrEx>
        <w:trPr>
          <w:trHeight w:val="262"/>
        </w:trPr>
        <w:tc>
          <w:tcPr>
            <w:tcW w:w="2415" w:type="dxa"/>
          </w:tcPr>
          <w:p w14:paraId="106D508B" w14:textId="77777777" w:rsidR="00D43DC8" w:rsidRDefault="00D43DC8" w:rsidP="00C645DD">
            <w:pPr>
              <w:spacing w:before="120" w:after="120"/>
              <w:ind w:left="85"/>
              <w:rPr>
                <w:rFonts w:ascii="Arial" w:hAnsi="Arial" w:cs="Arial"/>
                <w:snapToGrid w:val="0"/>
                <w:color w:val="000000"/>
                <w:sz w:val="18"/>
              </w:rPr>
            </w:pPr>
            <w:smartTag w:uri="urn:schemas-microsoft-com:office:smarttags" w:element="City">
              <w:smartTag w:uri="urn:schemas-microsoft-com:office:smarttags" w:element="place">
                <w:r>
                  <w:rPr>
                    <w:rFonts w:ascii="Arial" w:hAnsi="Arial" w:cs="Arial"/>
                    <w:snapToGrid w:val="0"/>
                    <w:color w:val="000000"/>
                    <w:sz w:val="18"/>
                  </w:rPr>
                  <w:t>Adelaide</w:t>
                </w:r>
              </w:smartTag>
            </w:smartTag>
            <w:r>
              <w:rPr>
                <w:rFonts w:ascii="Arial" w:hAnsi="Arial" w:cs="Arial"/>
                <w:snapToGrid w:val="0"/>
                <w:color w:val="000000"/>
                <w:sz w:val="18"/>
              </w:rPr>
              <w:t xml:space="preserve">: </w:t>
            </w:r>
          </w:p>
        </w:tc>
        <w:tc>
          <w:tcPr>
            <w:tcW w:w="5848" w:type="dxa"/>
          </w:tcPr>
          <w:p w14:paraId="4CB79FC4" w14:textId="77777777" w:rsidR="00D43DC8" w:rsidRDefault="00D43DC8" w:rsidP="00C645DD">
            <w:pPr>
              <w:spacing w:before="120" w:after="120"/>
              <w:ind w:left="85"/>
              <w:rPr>
                <w:rFonts w:ascii="Arial" w:hAnsi="Arial" w:cs="Arial"/>
                <w:snapToGrid w:val="0"/>
                <w:color w:val="000000"/>
                <w:sz w:val="18"/>
              </w:rPr>
            </w:pPr>
            <w:r>
              <w:rPr>
                <w:rFonts w:ascii="Arial" w:hAnsi="Arial" w:cs="Arial"/>
                <w:snapToGrid w:val="0"/>
                <w:color w:val="000000"/>
                <w:sz w:val="18"/>
              </w:rPr>
              <w:t xml:space="preserve">Flinders, Waymouth, North Adelaide, West Adelaide, Prospect, </w:t>
            </w:r>
            <w:smartTag w:uri="urn:schemas-microsoft-com:office:smarttags" w:element="City">
              <w:smartTag w:uri="urn:schemas-microsoft-com:office:smarttags" w:element="place">
                <w:r>
                  <w:rPr>
                    <w:rFonts w:ascii="Arial" w:hAnsi="Arial" w:cs="Arial"/>
                    <w:snapToGrid w:val="0"/>
                    <w:color w:val="000000"/>
                    <w:sz w:val="18"/>
                  </w:rPr>
                  <w:t>St Peters</w:t>
                </w:r>
              </w:smartTag>
            </w:smartTag>
            <w:r>
              <w:rPr>
                <w:rFonts w:ascii="Arial" w:hAnsi="Arial" w:cs="Arial"/>
                <w:snapToGrid w:val="0"/>
                <w:color w:val="000000"/>
                <w:sz w:val="18"/>
              </w:rPr>
              <w:t>, Unley</w:t>
            </w:r>
          </w:p>
        </w:tc>
      </w:tr>
      <w:tr w:rsidR="00D43DC8" w14:paraId="25540E5C" w14:textId="77777777">
        <w:tblPrEx>
          <w:tblCellMar>
            <w:top w:w="0" w:type="dxa"/>
            <w:bottom w:w="0" w:type="dxa"/>
          </w:tblCellMar>
        </w:tblPrEx>
        <w:trPr>
          <w:trHeight w:val="262"/>
        </w:trPr>
        <w:tc>
          <w:tcPr>
            <w:tcW w:w="2415" w:type="dxa"/>
          </w:tcPr>
          <w:p w14:paraId="298FB902" w14:textId="77777777" w:rsidR="00D43DC8" w:rsidRDefault="00D43DC8" w:rsidP="00C645DD">
            <w:pPr>
              <w:spacing w:before="120" w:after="120"/>
              <w:ind w:left="85"/>
              <w:rPr>
                <w:rFonts w:ascii="Arial" w:hAnsi="Arial" w:cs="Arial"/>
                <w:snapToGrid w:val="0"/>
                <w:color w:val="000000"/>
                <w:sz w:val="18"/>
              </w:rPr>
            </w:pPr>
            <w:smartTag w:uri="urn:schemas-microsoft-com:office:smarttags" w:element="City">
              <w:smartTag w:uri="urn:schemas-microsoft-com:office:smarttags" w:element="place">
                <w:r>
                  <w:rPr>
                    <w:rFonts w:ascii="Arial" w:hAnsi="Arial" w:cs="Arial"/>
                    <w:snapToGrid w:val="0"/>
                    <w:color w:val="000000"/>
                    <w:sz w:val="18"/>
                  </w:rPr>
                  <w:t>Perth</w:t>
                </w:r>
              </w:smartTag>
            </w:smartTag>
            <w:r>
              <w:rPr>
                <w:rFonts w:ascii="Arial" w:hAnsi="Arial" w:cs="Arial"/>
                <w:snapToGrid w:val="0"/>
                <w:color w:val="000000"/>
                <w:sz w:val="18"/>
              </w:rPr>
              <w:t xml:space="preserve">: </w:t>
            </w:r>
          </w:p>
        </w:tc>
        <w:tc>
          <w:tcPr>
            <w:tcW w:w="5848" w:type="dxa"/>
          </w:tcPr>
          <w:p w14:paraId="09B9508E" w14:textId="77777777" w:rsidR="00D43DC8" w:rsidRDefault="00D43DC8" w:rsidP="00C645DD">
            <w:pPr>
              <w:spacing w:before="120" w:after="120"/>
              <w:ind w:left="85"/>
              <w:rPr>
                <w:rFonts w:ascii="Arial" w:hAnsi="Arial" w:cs="Arial"/>
                <w:snapToGrid w:val="0"/>
                <w:color w:val="000000"/>
                <w:sz w:val="18"/>
              </w:rPr>
            </w:pPr>
            <w:r>
              <w:rPr>
                <w:rFonts w:ascii="Arial" w:hAnsi="Arial" w:cs="Arial"/>
                <w:snapToGrid w:val="0"/>
                <w:color w:val="000000"/>
                <w:sz w:val="18"/>
              </w:rPr>
              <w:t xml:space="preserve">Bulwer, Pier, </w:t>
            </w:r>
            <w:smartTag w:uri="urn:schemas-microsoft-com:office:smarttags" w:element="City">
              <w:smartTag w:uri="urn:schemas-microsoft-com:office:smarttags" w:element="place">
                <w:r>
                  <w:rPr>
                    <w:rFonts w:ascii="Arial" w:hAnsi="Arial" w:cs="Arial"/>
                    <w:snapToGrid w:val="0"/>
                    <w:color w:val="000000"/>
                    <w:sz w:val="18"/>
                  </w:rPr>
                  <w:t>Wellington</w:t>
                </w:r>
              </w:smartTag>
            </w:smartTag>
            <w:r>
              <w:rPr>
                <w:rFonts w:ascii="Arial" w:hAnsi="Arial" w:cs="Arial"/>
                <w:snapToGrid w:val="0"/>
                <w:color w:val="000000"/>
                <w:sz w:val="18"/>
              </w:rPr>
              <w:t>, Subiaco</w:t>
            </w:r>
          </w:p>
        </w:tc>
      </w:tr>
      <w:tr w:rsidR="00D43DC8" w14:paraId="28C3BBD6" w14:textId="77777777">
        <w:tblPrEx>
          <w:tblCellMar>
            <w:top w:w="0" w:type="dxa"/>
            <w:bottom w:w="0" w:type="dxa"/>
          </w:tblCellMar>
        </w:tblPrEx>
        <w:trPr>
          <w:trHeight w:val="262"/>
        </w:trPr>
        <w:tc>
          <w:tcPr>
            <w:tcW w:w="2415" w:type="dxa"/>
          </w:tcPr>
          <w:p w14:paraId="24B7B0CC" w14:textId="77777777" w:rsidR="00D43DC8" w:rsidRDefault="00D43DC8" w:rsidP="00C645DD">
            <w:pPr>
              <w:spacing w:before="120" w:after="120"/>
              <w:ind w:left="85"/>
              <w:rPr>
                <w:rFonts w:ascii="Arial" w:hAnsi="Arial" w:cs="Arial"/>
                <w:snapToGrid w:val="0"/>
                <w:color w:val="000000"/>
                <w:sz w:val="18"/>
              </w:rPr>
            </w:pPr>
            <w:smartTag w:uri="urn:schemas-microsoft-com:office:smarttags" w:element="City">
              <w:smartTag w:uri="urn:schemas-microsoft-com:office:smarttags" w:element="place">
                <w:r>
                  <w:rPr>
                    <w:rFonts w:ascii="Arial" w:hAnsi="Arial" w:cs="Arial"/>
                    <w:snapToGrid w:val="0"/>
                    <w:color w:val="000000"/>
                    <w:sz w:val="18"/>
                  </w:rPr>
                  <w:t>Canberra</w:t>
                </w:r>
              </w:smartTag>
            </w:smartTag>
            <w:r>
              <w:rPr>
                <w:rFonts w:ascii="Arial" w:hAnsi="Arial" w:cs="Arial"/>
                <w:snapToGrid w:val="0"/>
                <w:color w:val="000000"/>
                <w:sz w:val="18"/>
              </w:rPr>
              <w:t>:</w:t>
            </w:r>
          </w:p>
        </w:tc>
        <w:tc>
          <w:tcPr>
            <w:tcW w:w="5848" w:type="dxa"/>
          </w:tcPr>
          <w:p w14:paraId="36063FA0" w14:textId="77777777" w:rsidR="00D43DC8" w:rsidRDefault="00D43DC8" w:rsidP="00C645DD">
            <w:pPr>
              <w:spacing w:before="120" w:after="120"/>
              <w:ind w:left="85"/>
              <w:rPr>
                <w:rFonts w:ascii="Arial" w:hAnsi="Arial" w:cs="Arial"/>
                <w:snapToGrid w:val="0"/>
                <w:color w:val="000000"/>
                <w:sz w:val="18"/>
              </w:rPr>
            </w:pPr>
            <w:r>
              <w:rPr>
                <w:rFonts w:ascii="Arial" w:hAnsi="Arial" w:cs="Arial"/>
                <w:snapToGrid w:val="0"/>
                <w:color w:val="000000"/>
                <w:sz w:val="18"/>
              </w:rPr>
              <w:t>Civic, Barton, Deakin, Belconnen</w:t>
            </w:r>
          </w:p>
        </w:tc>
      </w:tr>
    </w:tbl>
    <w:p w14:paraId="7809CAFE" w14:textId="77777777" w:rsidR="00D43DC8" w:rsidRDefault="00C645DD">
      <w:pPr>
        <w:pStyle w:val="TableData"/>
      </w:pPr>
      <w:r>
        <w:br w:type="textWrapping" w:clear="all"/>
      </w:r>
    </w:p>
    <w:p w14:paraId="2ABD72B4" w14:textId="77777777" w:rsidR="00D43DC8" w:rsidRDefault="00D43DC8">
      <w:pPr>
        <w:pStyle w:val="Indent1"/>
      </w:pPr>
      <w:bookmarkStart w:id="131" w:name="_Toc477170918"/>
      <w:r>
        <w:t>Business zones</w:t>
      </w:r>
      <w:bookmarkEnd w:id="131"/>
    </w:p>
    <w:p w14:paraId="40E623C1" w14:textId="77777777" w:rsidR="00D43DC8" w:rsidRDefault="00D43DC8">
      <w:pPr>
        <w:pStyle w:val="Heading2"/>
      </w:pPr>
      <w:r>
        <w:t>The business zones are set out in the following table:</w:t>
      </w:r>
    </w:p>
    <w:tbl>
      <w:tblPr>
        <w:tblW w:w="8263"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15"/>
        <w:gridCol w:w="5848"/>
      </w:tblGrid>
      <w:tr w:rsidR="00D43DC8" w14:paraId="264F8C60" w14:textId="77777777">
        <w:tblPrEx>
          <w:tblCellMar>
            <w:top w:w="0" w:type="dxa"/>
            <w:bottom w:w="0" w:type="dxa"/>
          </w:tblCellMar>
        </w:tblPrEx>
        <w:trPr>
          <w:trHeight w:val="262"/>
          <w:tblHeader/>
        </w:trPr>
        <w:tc>
          <w:tcPr>
            <w:tcW w:w="8263" w:type="dxa"/>
            <w:gridSpan w:val="2"/>
          </w:tcPr>
          <w:p w14:paraId="57F67E13" w14:textId="77777777" w:rsidR="00D43DC8" w:rsidRDefault="00D43DC8" w:rsidP="00E768A5">
            <w:pPr>
              <w:keepNext/>
              <w:spacing w:before="120" w:after="120"/>
              <w:ind w:left="85" w:right="85"/>
              <w:rPr>
                <w:rFonts w:ascii="Arial" w:hAnsi="Arial" w:cs="Arial"/>
                <w:b/>
                <w:bCs/>
                <w:snapToGrid w:val="0"/>
                <w:color w:val="000000"/>
                <w:sz w:val="18"/>
              </w:rPr>
            </w:pPr>
            <w:r>
              <w:rPr>
                <w:rFonts w:ascii="Arial" w:hAnsi="Arial" w:cs="Arial"/>
                <w:b/>
                <w:bCs/>
                <w:snapToGrid w:val="0"/>
                <w:color w:val="000000"/>
                <w:sz w:val="18"/>
              </w:rPr>
              <w:t>Business zone exchange districts</w:t>
            </w:r>
          </w:p>
        </w:tc>
      </w:tr>
      <w:tr w:rsidR="00D43DC8" w14:paraId="78C31C6F" w14:textId="77777777">
        <w:tblPrEx>
          <w:tblCellMar>
            <w:top w:w="0" w:type="dxa"/>
            <w:bottom w:w="0" w:type="dxa"/>
          </w:tblCellMar>
        </w:tblPrEx>
        <w:trPr>
          <w:trHeight w:val="262"/>
        </w:trPr>
        <w:tc>
          <w:tcPr>
            <w:tcW w:w="2415" w:type="dxa"/>
          </w:tcPr>
          <w:p w14:paraId="54C900D0" w14:textId="77777777" w:rsidR="00D43DC8" w:rsidRDefault="00D43DC8" w:rsidP="00E768A5">
            <w:pPr>
              <w:spacing w:before="120" w:after="120"/>
              <w:ind w:left="85" w:right="85"/>
              <w:rPr>
                <w:rFonts w:ascii="Arial" w:hAnsi="Arial" w:cs="Arial"/>
                <w:snapToGrid w:val="0"/>
                <w:color w:val="000000"/>
                <w:sz w:val="18"/>
              </w:rPr>
            </w:pPr>
            <w:smartTag w:uri="urn:schemas-microsoft-com:office:smarttags" w:element="City">
              <w:smartTag w:uri="urn:schemas-microsoft-com:office:smarttags" w:element="place">
                <w:r>
                  <w:rPr>
                    <w:rFonts w:ascii="Arial" w:hAnsi="Arial" w:cs="Arial"/>
                    <w:snapToGrid w:val="0"/>
                    <w:color w:val="000000"/>
                    <w:sz w:val="18"/>
                  </w:rPr>
                  <w:t>Sydney</w:t>
                </w:r>
              </w:smartTag>
            </w:smartTag>
            <w:r>
              <w:rPr>
                <w:rFonts w:ascii="Arial" w:hAnsi="Arial" w:cs="Arial"/>
                <w:snapToGrid w:val="0"/>
                <w:color w:val="000000"/>
                <w:sz w:val="18"/>
              </w:rPr>
              <w:t xml:space="preserve">: </w:t>
            </w:r>
          </w:p>
        </w:tc>
        <w:tc>
          <w:tcPr>
            <w:tcW w:w="5848" w:type="dxa"/>
          </w:tcPr>
          <w:p w14:paraId="3E30FF68" w14:textId="77777777" w:rsidR="00D43DC8" w:rsidRDefault="00D43DC8" w:rsidP="00E768A5">
            <w:pPr>
              <w:spacing w:before="120" w:after="120"/>
              <w:ind w:left="85" w:right="85"/>
              <w:rPr>
                <w:rFonts w:ascii="Arial" w:hAnsi="Arial" w:cs="Arial"/>
                <w:snapToGrid w:val="0"/>
                <w:color w:val="000000"/>
                <w:sz w:val="18"/>
              </w:rPr>
            </w:pPr>
            <w:r>
              <w:rPr>
                <w:rFonts w:ascii="Arial" w:hAnsi="Arial" w:cs="Arial"/>
                <w:snapToGrid w:val="0"/>
                <w:color w:val="000000"/>
                <w:sz w:val="18"/>
              </w:rPr>
              <w:t>Glebe, Mascot, East, St Leonards, Chatswood, Willoughby, Frenchs Forest, North Ryde, Burwood, Concord, Homebush, Parramatta, Castle Hill, Baulkham Hills, Liverpool, Lane Cove, Blacktown, Alexandria, Epping, Silverwater</w:t>
            </w:r>
          </w:p>
        </w:tc>
      </w:tr>
      <w:tr w:rsidR="00D43DC8" w14:paraId="15A5BB37" w14:textId="77777777">
        <w:tblPrEx>
          <w:tblCellMar>
            <w:top w:w="0" w:type="dxa"/>
            <w:bottom w:w="0" w:type="dxa"/>
          </w:tblCellMar>
        </w:tblPrEx>
        <w:trPr>
          <w:trHeight w:val="262"/>
        </w:trPr>
        <w:tc>
          <w:tcPr>
            <w:tcW w:w="2415" w:type="dxa"/>
          </w:tcPr>
          <w:p w14:paraId="7026BE7D" w14:textId="77777777" w:rsidR="00D43DC8" w:rsidRDefault="00D43DC8" w:rsidP="00E768A5">
            <w:pPr>
              <w:spacing w:before="120" w:after="120"/>
              <w:ind w:left="85" w:right="85"/>
              <w:rPr>
                <w:rFonts w:ascii="Arial" w:hAnsi="Arial" w:cs="Arial"/>
                <w:snapToGrid w:val="0"/>
                <w:color w:val="000000"/>
                <w:sz w:val="18"/>
              </w:rPr>
            </w:pPr>
            <w:smartTag w:uri="urn:schemas-microsoft-com:office:smarttags" w:element="City">
              <w:smartTag w:uri="urn:schemas-microsoft-com:office:smarttags" w:element="place">
                <w:r>
                  <w:rPr>
                    <w:rFonts w:ascii="Arial" w:hAnsi="Arial" w:cs="Arial"/>
                    <w:snapToGrid w:val="0"/>
                    <w:color w:val="000000"/>
                    <w:sz w:val="18"/>
                  </w:rPr>
                  <w:t>Melbourne</w:t>
                </w:r>
              </w:smartTag>
            </w:smartTag>
            <w:r>
              <w:rPr>
                <w:rFonts w:ascii="Arial" w:hAnsi="Arial" w:cs="Arial"/>
                <w:snapToGrid w:val="0"/>
                <w:color w:val="000000"/>
                <w:sz w:val="18"/>
              </w:rPr>
              <w:t xml:space="preserve">: </w:t>
            </w:r>
          </w:p>
        </w:tc>
        <w:tc>
          <w:tcPr>
            <w:tcW w:w="5848" w:type="dxa"/>
          </w:tcPr>
          <w:p w14:paraId="1966BE78" w14:textId="77777777" w:rsidR="00D43DC8" w:rsidRDefault="00D43DC8" w:rsidP="00E768A5">
            <w:pPr>
              <w:spacing w:before="120" w:after="120"/>
              <w:ind w:left="85" w:right="85"/>
              <w:rPr>
                <w:rFonts w:ascii="Arial" w:hAnsi="Arial" w:cs="Arial"/>
                <w:snapToGrid w:val="0"/>
                <w:color w:val="000000"/>
                <w:sz w:val="18"/>
              </w:rPr>
            </w:pPr>
            <w:r>
              <w:rPr>
                <w:rFonts w:ascii="Arial" w:hAnsi="Arial" w:cs="Arial"/>
                <w:snapToGrid w:val="0"/>
                <w:color w:val="000000"/>
                <w:sz w:val="18"/>
              </w:rPr>
              <w:t xml:space="preserve">South Yarra, Tullamarine, Collingwood, </w:t>
            </w:r>
            <w:smartTag w:uri="urn:schemas-microsoft-com:office:smarttags" w:element="City">
              <w:r>
                <w:rPr>
                  <w:rFonts w:ascii="Arial" w:hAnsi="Arial" w:cs="Arial"/>
                  <w:snapToGrid w:val="0"/>
                  <w:color w:val="000000"/>
                  <w:sz w:val="18"/>
                </w:rPr>
                <w:t>Richmond</w:t>
              </w:r>
            </w:smartTag>
            <w:r>
              <w:rPr>
                <w:rFonts w:ascii="Arial" w:hAnsi="Arial" w:cs="Arial"/>
                <w:snapToGrid w:val="0"/>
                <w:color w:val="000000"/>
                <w:sz w:val="18"/>
              </w:rPr>
              <w:t xml:space="preserve">, Box Hill, Clayton, Port </w:t>
            </w:r>
            <w:smartTag w:uri="urn:schemas-microsoft-com:office:smarttags" w:element="City">
              <w:r>
                <w:rPr>
                  <w:rFonts w:ascii="Arial" w:hAnsi="Arial" w:cs="Arial"/>
                  <w:snapToGrid w:val="0"/>
                  <w:color w:val="000000"/>
                  <w:sz w:val="18"/>
                </w:rPr>
                <w:t>Melbourne</w:t>
              </w:r>
            </w:smartTag>
            <w:r>
              <w:rPr>
                <w:rFonts w:ascii="Arial" w:hAnsi="Arial" w:cs="Arial"/>
                <w:snapToGrid w:val="0"/>
                <w:color w:val="000000"/>
                <w:sz w:val="18"/>
              </w:rPr>
              <w:t xml:space="preserve">, Mulgrave, Oakleigh, </w:t>
            </w:r>
            <w:smartTag w:uri="urn:schemas-microsoft-com:office:smarttags" w:element="City">
              <w:smartTag w:uri="urn:schemas-microsoft-com:office:smarttags" w:element="place">
                <w:r>
                  <w:rPr>
                    <w:rFonts w:ascii="Arial" w:hAnsi="Arial" w:cs="Arial"/>
                    <w:snapToGrid w:val="0"/>
                    <w:color w:val="000000"/>
                    <w:sz w:val="18"/>
                  </w:rPr>
                  <w:t>Carlton</w:t>
                </w:r>
              </w:smartTag>
            </w:smartTag>
            <w:r>
              <w:rPr>
                <w:rFonts w:ascii="Arial" w:hAnsi="Arial" w:cs="Arial"/>
                <w:snapToGrid w:val="0"/>
                <w:color w:val="000000"/>
                <w:sz w:val="18"/>
              </w:rPr>
              <w:t>, Moorabbin,</w:t>
            </w:r>
          </w:p>
        </w:tc>
      </w:tr>
      <w:tr w:rsidR="00D43DC8" w14:paraId="5C278594" w14:textId="77777777">
        <w:tblPrEx>
          <w:tblCellMar>
            <w:top w:w="0" w:type="dxa"/>
            <w:bottom w:w="0" w:type="dxa"/>
          </w:tblCellMar>
        </w:tblPrEx>
        <w:trPr>
          <w:trHeight w:val="262"/>
        </w:trPr>
        <w:tc>
          <w:tcPr>
            <w:tcW w:w="2415" w:type="dxa"/>
          </w:tcPr>
          <w:p w14:paraId="120BFA9C" w14:textId="77777777" w:rsidR="00D43DC8" w:rsidRDefault="00D43DC8" w:rsidP="00E768A5">
            <w:pPr>
              <w:spacing w:before="120" w:after="120"/>
              <w:ind w:left="85" w:right="85"/>
              <w:rPr>
                <w:rFonts w:ascii="Arial" w:hAnsi="Arial" w:cs="Arial"/>
                <w:snapToGrid w:val="0"/>
                <w:color w:val="000000"/>
                <w:sz w:val="18"/>
              </w:rPr>
            </w:pPr>
            <w:smartTag w:uri="urn:schemas-microsoft-com:office:smarttags" w:element="City">
              <w:smartTag w:uri="urn:schemas-microsoft-com:office:smarttags" w:element="place">
                <w:r>
                  <w:rPr>
                    <w:rFonts w:ascii="Arial" w:hAnsi="Arial" w:cs="Arial"/>
                    <w:snapToGrid w:val="0"/>
                    <w:color w:val="000000"/>
                    <w:sz w:val="18"/>
                  </w:rPr>
                  <w:t>Brisbane</w:t>
                </w:r>
              </w:smartTag>
            </w:smartTag>
            <w:r>
              <w:rPr>
                <w:rFonts w:ascii="Arial" w:hAnsi="Arial" w:cs="Arial"/>
                <w:snapToGrid w:val="0"/>
                <w:color w:val="000000"/>
                <w:sz w:val="18"/>
              </w:rPr>
              <w:t xml:space="preserve">: </w:t>
            </w:r>
          </w:p>
        </w:tc>
        <w:tc>
          <w:tcPr>
            <w:tcW w:w="5848" w:type="dxa"/>
          </w:tcPr>
          <w:p w14:paraId="7099ED0A" w14:textId="77777777" w:rsidR="00D43DC8" w:rsidRDefault="00D43DC8" w:rsidP="00E768A5">
            <w:pPr>
              <w:spacing w:before="120" w:after="120"/>
              <w:ind w:left="85" w:right="85"/>
              <w:rPr>
                <w:rFonts w:ascii="Arial" w:hAnsi="Arial" w:cs="Arial"/>
                <w:snapToGrid w:val="0"/>
                <w:color w:val="000000"/>
                <w:sz w:val="18"/>
              </w:rPr>
            </w:pPr>
            <w:smartTag w:uri="urn:schemas-microsoft-com:office:smarttags" w:element="place">
              <w:smartTag w:uri="urn:schemas-microsoft-com:office:smarttags" w:element="PlaceName">
                <w:r>
                  <w:rPr>
                    <w:rFonts w:ascii="Arial" w:hAnsi="Arial" w:cs="Arial"/>
                    <w:snapToGrid w:val="0"/>
                    <w:color w:val="000000"/>
                    <w:sz w:val="18"/>
                  </w:rPr>
                  <w:t>Brisbane</w:t>
                </w:r>
              </w:smartTag>
              <w:r>
                <w:rPr>
                  <w:rFonts w:ascii="Arial" w:hAnsi="Arial" w:cs="Arial"/>
                  <w:snapToGrid w:val="0"/>
                  <w:color w:val="000000"/>
                  <w:sz w:val="18"/>
                </w:rPr>
                <w:t xml:space="preserve"> </w:t>
              </w:r>
              <w:smartTag w:uri="urn:schemas-microsoft-com:office:smarttags" w:element="PlaceType">
                <w:r>
                  <w:rPr>
                    <w:rFonts w:ascii="Arial" w:hAnsi="Arial" w:cs="Arial"/>
                    <w:snapToGrid w:val="0"/>
                    <w:color w:val="000000"/>
                    <w:sz w:val="18"/>
                  </w:rPr>
                  <w:t>Airport</w:t>
                </w:r>
              </w:smartTag>
            </w:smartTag>
            <w:r>
              <w:rPr>
                <w:rFonts w:ascii="Arial" w:hAnsi="Arial" w:cs="Arial"/>
                <w:snapToGrid w:val="0"/>
                <w:color w:val="000000"/>
                <w:sz w:val="18"/>
              </w:rPr>
              <w:t>, Lutwyche, Coorparoo, 8 Mile Plains</w:t>
            </w:r>
          </w:p>
        </w:tc>
      </w:tr>
      <w:tr w:rsidR="00D43DC8" w14:paraId="1FACB79A" w14:textId="77777777">
        <w:tblPrEx>
          <w:tblCellMar>
            <w:top w:w="0" w:type="dxa"/>
            <w:bottom w:w="0" w:type="dxa"/>
          </w:tblCellMar>
        </w:tblPrEx>
        <w:trPr>
          <w:trHeight w:val="262"/>
        </w:trPr>
        <w:tc>
          <w:tcPr>
            <w:tcW w:w="2415" w:type="dxa"/>
          </w:tcPr>
          <w:p w14:paraId="733C5CCC" w14:textId="77777777" w:rsidR="00D43DC8" w:rsidRDefault="00D43DC8" w:rsidP="00E768A5">
            <w:pPr>
              <w:spacing w:before="120" w:after="120"/>
              <w:ind w:left="85" w:right="85"/>
              <w:rPr>
                <w:rFonts w:ascii="Arial" w:hAnsi="Arial" w:cs="Arial"/>
                <w:snapToGrid w:val="0"/>
                <w:color w:val="000000"/>
                <w:sz w:val="18"/>
              </w:rPr>
            </w:pPr>
            <w:smartTag w:uri="urn:schemas-microsoft-com:office:smarttags" w:element="City">
              <w:smartTag w:uri="urn:schemas-microsoft-com:office:smarttags" w:element="place">
                <w:r>
                  <w:rPr>
                    <w:rFonts w:ascii="Arial" w:hAnsi="Arial" w:cs="Arial"/>
                    <w:snapToGrid w:val="0"/>
                    <w:color w:val="000000"/>
                    <w:sz w:val="18"/>
                  </w:rPr>
                  <w:t>Adelaide</w:t>
                </w:r>
              </w:smartTag>
            </w:smartTag>
            <w:r>
              <w:rPr>
                <w:rFonts w:ascii="Arial" w:hAnsi="Arial" w:cs="Arial"/>
                <w:snapToGrid w:val="0"/>
                <w:color w:val="000000"/>
                <w:sz w:val="18"/>
              </w:rPr>
              <w:t xml:space="preserve">: </w:t>
            </w:r>
          </w:p>
        </w:tc>
        <w:tc>
          <w:tcPr>
            <w:tcW w:w="5848" w:type="dxa"/>
          </w:tcPr>
          <w:p w14:paraId="6DC0FCBC" w14:textId="77777777" w:rsidR="00D43DC8" w:rsidRDefault="00D43DC8" w:rsidP="00E768A5">
            <w:pPr>
              <w:spacing w:before="120" w:after="120"/>
              <w:ind w:left="85" w:right="85"/>
              <w:rPr>
                <w:rFonts w:ascii="Arial" w:hAnsi="Arial" w:cs="Arial"/>
                <w:snapToGrid w:val="0"/>
                <w:color w:val="000000"/>
                <w:sz w:val="18"/>
              </w:rPr>
            </w:pPr>
            <w:r>
              <w:rPr>
                <w:rFonts w:ascii="Arial" w:hAnsi="Arial" w:cs="Arial"/>
                <w:snapToGrid w:val="0"/>
                <w:color w:val="000000"/>
                <w:sz w:val="18"/>
              </w:rPr>
              <w:t>Brooklyn Park, Hampstead, Woodville, Pt Adelaide, Salisbury, Modbury, Lonsdale, Elizabeth, Norwood, Edwardstown, St Marys, Gepps Cross, Croydon</w:t>
            </w:r>
          </w:p>
        </w:tc>
      </w:tr>
      <w:tr w:rsidR="00D43DC8" w14:paraId="3CE37D8F" w14:textId="77777777">
        <w:tblPrEx>
          <w:tblCellMar>
            <w:top w:w="0" w:type="dxa"/>
            <w:bottom w:w="0" w:type="dxa"/>
          </w:tblCellMar>
        </w:tblPrEx>
        <w:trPr>
          <w:trHeight w:val="262"/>
        </w:trPr>
        <w:tc>
          <w:tcPr>
            <w:tcW w:w="2415" w:type="dxa"/>
          </w:tcPr>
          <w:p w14:paraId="400C59CD" w14:textId="77777777" w:rsidR="00D43DC8" w:rsidRDefault="00D43DC8" w:rsidP="00E768A5">
            <w:pPr>
              <w:spacing w:before="120" w:after="120"/>
              <w:ind w:left="85" w:right="85"/>
              <w:rPr>
                <w:rFonts w:ascii="Arial" w:hAnsi="Arial" w:cs="Arial"/>
                <w:snapToGrid w:val="0"/>
                <w:color w:val="000000"/>
                <w:sz w:val="18"/>
              </w:rPr>
            </w:pPr>
            <w:smartTag w:uri="urn:schemas-microsoft-com:office:smarttags" w:element="City">
              <w:smartTag w:uri="urn:schemas-microsoft-com:office:smarttags" w:element="place">
                <w:r>
                  <w:rPr>
                    <w:rFonts w:ascii="Arial" w:hAnsi="Arial" w:cs="Arial"/>
                    <w:snapToGrid w:val="0"/>
                    <w:color w:val="000000"/>
                    <w:sz w:val="18"/>
                  </w:rPr>
                  <w:t>Perth</w:t>
                </w:r>
              </w:smartTag>
            </w:smartTag>
            <w:r>
              <w:rPr>
                <w:rFonts w:ascii="Arial" w:hAnsi="Arial" w:cs="Arial"/>
                <w:snapToGrid w:val="0"/>
                <w:color w:val="000000"/>
                <w:sz w:val="18"/>
              </w:rPr>
              <w:t xml:space="preserve">: </w:t>
            </w:r>
          </w:p>
        </w:tc>
        <w:tc>
          <w:tcPr>
            <w:tcW w:w="5848" w:type="dxa"/>
          </w:tcPr>
          <w:p w14:paraId="34DDD28F" w14:textId="77777777" w:rsidR="00D43DC8" w:rsidRDefault="00D43DC8" w:rsidP="00E768A5">
            <w:pPr>
              <w:spacing w:before="120" w:after="120"/>
              <w:ind w:left="85" w:right="85"/>
              <w:rPr>
                <w:rFonts w:ascii="Arial" w:hAnsi="Arial" w:cs="Arial"/>
                <w:snapToGrid w:val="0"/>
                <w:color w:val="000000"/>
                <w:sz w:val="18"/>
              </w:rPr>
            </w:pPr>
            <w:r>
              <w:rPr>
                <w:rFonts w:ascii="Arial" w:hAnsi="Arial" w:cs="Arial"/>
                <w:snapToGrid w:val="0"/>
                <w:color w:val="000000"/>
                <w:sz w:val="18"/>
              </w:rPr>
              <w:t>Tuart Hill, Ascot, Doubleview, Herdsman, Fremantle, Cannington, Midland, Maylands, Ascot, Vic Park, Mt Hawthorn, Morley, South Coogee, Kewdale, South Perth, Applecross, Nedlands, Cottesloe, Osborne Park, Balcatta, Joondalup Kingsley</w:t>
            </w:r>
          </w:p>
        </w:tc>
      </w:tr>
      <w:tr w:rsidR="00D43DC8" w14:paraId="77864DDF" w14:textId="77777777">
        <w:tblPrEx>
          <w:tblCellMar>
            <w:top w:w="0" w:type="dxa"/>
            <w:bottom w:w="0" w:type="dxa"/>
          </w:tblCellMar>
        </w:tblPrEx>
        <w:trPr>
          <w:trHeight w:val="262"/>
        </w:trPr>
        <w:tc>
          <w:tcPr>
            <w:tcW w:w="2415" w:type="dxa"/>
          </w:tcPr>
          <w:p w14:paraId="7E54A6F8" w14:textId="77777777" w:rsidR="00D43DC8" w:rsidRDefault="00D43DC8" w:rsidP="00E768A5">
            <w:pPr>
              <w:spacing w:before="120" w:after="120"/>
              <w:ind w:left="85" w:right="85"/>
              <w:rPr>
                <w:rFonts w:ascii="Arial" w:hAnsi="Arial" w:cs="Arial"/>
                <w:snapToGrid w:val="0"/>
                <w:color w:val="000000"/>
                <w:sz w:val="18"/>
              </w:rPr>
            </w:pPr>
            <w:smartTag w:uri="urn:schemas-microsoft-com:office:smarttags" w:element="City">
              <w:smartTag w:uri="urn:schemas-microsoft-com:office:smarttags" w:element="place">
                <w:r>
                  <w:rPr>
                    <w:rFonts w:ascii="Arial" w:hAnsi="Arial" w:cs="Arial"/>
                    <w:snapToGrid w:val="0"/>
                    <w:color w:val="000000"/>
                    <w:sz w:val="18"/>
                  </w:rPr>
                  <w:t>Canberra</w:t>
                </w:r>
              </w:smartTag>
            </w:smartTag>
            <w:r>
              <w:rPr>
                <w:rFonts w:ascii="Arial" w:hAnsi="Arial" w:cs="Arial"/>
                <w:snapToGrid w:val="0"/>
                <w:color w:val="000000"/>
                <w:sz w:val="18"/>
              </w:rPr>
              <w:t>:</w:t>
            </w:r>
          </w:p>
        </w:tc>
        <w:tc>
          <w:tcPr>
            <w:tcW w:w="5848" w:type="dxa"/>
          </w:tcPr>
          <w:p w14:paraId="10967800" w14:textId="77777777" w:rsidR="00D43DC8" w:rsidRDefault="00D43DC8" w:rsidP="00E768A5">
            <w:pPr>
              <w:spacing w:before="120" w:after="120"/>
              <w:ind w:left="85" w:right="85"/>
              <w:rPr>
                <w:rFonts w:ascii="Arial" w:hAnsi="Arial" w:cs="Arial"/>
                <w:snapToGrid w:val="0"/>
                <w:color w:val="000000"/>
                <w:sz w:val="18"/>
              </w:rPr>
            </w:pPr>
            <w:r>
              <w:rPr>
                <w:rFonts w:ascii="Arial" w:hAnsi="Arial" w:cs="Arial"/>
                <w:snapToGrid w:val="0"/>
                <w:color w:val="000000"/>
                <w:sz w:val="18"/>
              </w:rPr>
              <w:t>Tuggeranong, Fyshwick, Crace, Hume, Weston Creek, Queanbeyan</w:t>
            </w:r>
          </w:p>
        </w:tc>
      </w:tr>
    </w:tbl>
    <w:p w14:paraId="766654DA" w14:textId="77777777" w:rsidR="00D43DC8" w:rsidRDefault="00D43DC8">
      <w:pPr>
        <w:pStyle w:val="TableData"/>
        <w:rPr>
          <w:b/>
          <w:bCs/>
        </w:rPr>
      </w:pPr>
    </w:p>
    <w:p w14:paraId="4ED21E50" w14:textId="77777777" w:rsidR="00D43DC8" w:rsidRDefault="00D43DC8">
      <w:pPr>
        <w:pStyle w:val="Indent1"/>
      </w:pPr>
      <w:bookmarkStart w:id="132" w:name="_Toc477170919"/>
      <w:r>
        <w:t>Metropolitan zones</w:t>
      </w:r>
      <w:bookmarkEnd w:id="132"/>
    </w:p>
    <w:p w14:paraId="6DE1CB49" w14:textId="77777777" w:rsidR="00D43DC8" w:rsidRDefault="00D43DC8">
      <w:pPr>
        <w:pStyle w:val="Heading2"/>
      </w:pPr>
      <w:r>
        <w:t>Metro zones are of our exchange districts in:</w:t>
      </w:r>
    </w:p>
    <w:p w14:paraId="0A40A2C3" w14:textId="77777777" w:rsidR="00D43DC8" w:rsidRDefault="00D43DC8">
      <w:pPr>
        <w:pStyle w:val="Heading3"/>
      </w:pPr>
      <w:r>
        <w:lastRenderedPageBreak/>
        <w:t>a metropolitan area that is not a central business district zone or a business zone (including Hobart and Darwin); and</w:t>
      </w:r>
    </w:p>
    <w:p w14:paraId="6CB0D466" w14:textId="77777777" w:rsidR="00D43DC8" w:rsidRDefault="00D43DC8">
      <w:pPr>
        <w:pStyle w:val="Heading3"/>
      </w:pPr>
      <w:smartTag w:uri="urn:schemas-microsoft-com:office:smarttags" w:element="City">
        <w:r>
          <w:t>Geelong</w:t>
        </w:r>
      </w:smartTag>
      <w:r>
        <w:t xml:space="preserve">, </w:t>
      </w:r>
      <w:smartTag w:uri="urn:schemas-microsoft-com:office:smarttags" w:element="City">
        <w:r>
          <w:t>Newcastle</w:t>
        </w:r>
      </w:smartTag>
      <w:r>
        <w:t xml:space="preserve">, </w:t>
      </w:r>
      <w:smartTag w:uri="urn:schemas-microsoft-com:office:smarttags" w:element="City">
        <w:r>
          <w:t>Wollongong</w:t>
        </w:r>
      </w:smartTag>
      <w:r>
        <w:t xml:space="preserve"> and </w:t>
      </w:r>
      <w:smartTag w:uri="urn:schemas-microsoft-com:office:smarttags" w:element="place">
        <w:r>
          <w:t>Southport</w:t>
        </w:r>
      </w:smartTag>
      <w:r>
        <w:t xml:space="preserve">.  </w:t>
      </w:r>
    </w:p>
    <w:p w14:paraId="56D14AC9" w14:textId="77777777" w:rsidR="00D43DC8" w:rsidRDefault="00D43DC8">
      <w:pPr>
        <w:pStyle w:val="Heading1"/>
      </w:pPr>
      <w:bookmarkStart w:id="133" w:name="_Toc477170920"/>
      <w:r>
        <w:t xml:space="preserve">Special </w:t>
      </w:r>
      <w:bookmarkStart w:id="134" w:name="Specialmeanings"/>
      <w:bookmarkEnd w:id="134"/>
      <w:r>
        <w:t>m</w:t>
      </w:r>
      <w:r>
        <w:t>eanings</w:t>
      </w:r>
      <w:bookmarkEnd w:id="133"/>
    </w:p>
    <w:p w14:paraId="362ED311" w14:textId="77777777" w:rsidR="00D43DC8" w:rsidRDefault="00D43DC8">
      <w:pPr>
        <w:pStyle w:val="Heading2"/>
      </w:pPr>
      <w:r>
        <w:t>The following words and abbreviations have the following special meanings:</w:t>
      </w:r>
    </w:p>
    <w:p w14:paraId="3D64090B" w14:textId="77777777" w:rsidR="00D43DC8" w:rsidRDefault="00D43DC8">
      <w:pPr>
        <w:pStyle w:val="Indent2"/>
        <w:rPr>
          <w:b/>
        </w:rPr>
      </w:pPr>
      <w:r>
        <w:rPr>
          <w:b/>
        </w:rPr>
        <w:t>building entry point</w:t>
      </w:r>
      <w:r>
        <w:rPr>
          <w:bCs/>
        </w:rPr>
        <w:t xml:space="preserve"> is the point where cable crosses or goes through the perimeter of your building.</w:t>
      </w:r>
    </w:p>
    <w:p w14:paraId="41BBCAFB" w14:textId="77777777" w:rsidR="00D43DC8" w:rsidRDefault="00D43DC8">
      <w:pPr>
        <w:pStyle w:val="Indent2"/>
      </w:pPr>
      <w:r>
        <w:rPr>
          <w:b/>
        </w:rPr>
        <w:t xml:space="preserve">metropolitan </w:t>
      </w:r>
      <w:r>
        <w:t>or</w:t>
      </w:r>
      <w:r>
        <w:rPr>
          <w:b/>
        </w:rPr>
        <w:t xml:space="preserve"> metro</w:t>
      </w:r>
      <w:r>
        <w:rPr>
          <w:bCs/>
        </w:rPr>
        <w:t xml:space="preserve"> </w:t>
      </w:r>
      <w:r>
        <w:t xml:space="preserve">refers to the following cities:  </w:t>
      </w:r>
      <w:smartTag w:uri="urn:schemas-microsoft-com:office:smarttags" w:element="City">
        <w:r>
          <w:t>Sydney</w:t>
        </w:r>
      </w:smartTag>
      <w:r>
        <w:t xml:space="preserve">, </w:t>
      </w:r>
      <w:smartTag w:uri="urn:schemas-microsoft-com:office:smarttags" w:element="City">
        <w:r>
          <w:t>Canberra</w:t>
        </w:r>
      </w:smartTag>
      <w:r>
        <w:t xml:space="preserve">, </w:t>
      </w:r>
      <w:smartTag w:uri="urn:schemas-microsoft-com:office:smarttags" w:element="City">
        <w:r>
          <w:t>Melbourne</w:t>
        </w:r>
      </w:smartTag>
      <w:r>
        <w:t xml:space="preserve">, </w:t>
      </w:r>
      <w:smartTag w:uri="urn:schemas-microsoft-com:office:smarttags" w:element="City">
        <w:r>
          <w:t>Adelaide</w:t>
        </w:r>
      </w:smartTag>
      <w:r>
        <w:t xml:space="preserve">, </w:t>
      </w:r>
      <w:smartTag w:uri="urn:schemas-microsoft-com:office:smarttags" w:element="City">
        <w:r>
          <w:t>Perth</w:t>
        </w:r>
      </w:smartTag>
      <w:r>
        <w:t xml:space="preserve">, </w:t>
      </w:r>
      <w:smartTag w:uri="urn:schemas-microsoft-com:office:smarttags" w:element="City">
        <w:r>
          <w:t>Brisbane</w:t>
        </w:r>
      </w:smartTag>
      <w:r>
        <w:t xml:space="preserve">, </w:t>
      </w:r>
      <w:smartTag w:uri="urn:schemas-microsoft-com:office:smarttags" w:element="City">
        <w:r>
          <w:t>Hobart</w:t>
        </w:r>
      </w:smartTag>
      <w:r>
        <w:t xml:space="preserve"> and </w:t>
      </w:r>
      <w:smartTag w:uri="urn:schemas-microsoft-com:office:smarttags" w:element="City">
        <w:smartTag w:uri="urn:schemas-microsoft-com:office:smarttags" w:element="place">
          <w:r>
            <w:t>Darwin</w:t>
          </w:r>
        </w:smartTag>
      </w:smartTag>
      <w:r>
        <w:t>.</w:t>
      </w:r>
    </w:p>
    <w:p w14:paraId="5C66CCCF" w14:textId="77777777" w:rsidR="00D43DC8" w:rsidRDefault="00D43DC8">
      <w:pPr>
        <w:pStyle w:val="Indent2"/>
        <w:rPr>
          <w:bCs/>
        </w:rPr>
      </w:pPr>
      <w:r>
        <w:rPr>
          <w:b/>
        </w:rPr>
        <w:t>network boundary</w:t>
      </w:r>
      <w:r>
        <w:rPr>
          <w:bCs/>
        </w:rPr>
        <w:t xml:space="preserve"> means the boundary as ascertained in accordance with section 22 of the Telecommunications Act 1997.</w:t>
      </w:r>
    </w:p>
    <w:p w14:paraId="6ECC01EE" w14:textId="77777777" w:rsidR="00D43DC8" w:rsidRDefault="00D43DC8">
      <w:pPr>
        <w:ind w:left="735"/>
      </w:pPr>
      <w:r>
        <w:rPr>
          <w:b/>
        </w:rPr>
        <w:t>NTU</w:t>
      </w:r>
      <w:r>
        <w:t xml:space="preserve"> is a Network Termination Unit and is a Telstra network device, which can be either a switch or an Optical Media Converter (OMC), which supports one or more</w:t>
      </w:r>
      <w:r w:rsidR="00427B1D">
        <w:t xml:space="preserve"> of your</w:t>
      </w:r>
      <w:r>
        <w:t xml:space="preserve"> ports, each port providing a network boundary and/or service delivery demarcation point.  The ports on an NTU may support more than one Virtual Private Network (VPN).  </w:t>
      </w:r>
    </w:p>
    <w:p w14:paraId="2372F469" w14:textId="77777777" w:rsidR="00D43DC8" w:rsidRDefault="00D43DC8">
      <w:pPr>
        <w:ind w:left="735"/>
      </w:pPr>
    </w:p>
    <w:p w14:paraId="0C1717D2" w14:textId="77777777" w:rsidR="00D43DC8" w:rsidRDefault="00D43DC8">
      <w:pPr>
        <w:pStyle w:val="Indent2"/>
      </w:pPr>
      <w:r>
        <w:rPr>
          <w:b/>
        </w:rPr>
        <w:t>property entry point</w:t>
      </w:r>
      <w:r>
        <w:rPr>
          <w:bCs/>
        </w:rPr>
        <w:t xml:space="preserve"> </w:t>
      </w:r>
      <w:r>
        <w:t>means the point where the cable or optic fibre enters your property.</w:t>
      </w:r>
    </w:p>
    <w:p w14:paraId="6CF98530" w14:textId="77777777" w:rsidR="00D43DC8" w:rsidRDefault="002719F9">
      <w:pPr>
        <w:ind w:left="737"/>
      </w:pPr>
      <w:r>
        <w:rPr>
          <w:b/>
        </w:rPr>
        <w:t>s</w:t>
      </w:r>
      <w:r w:rsidR="00D43DC8">
        <w:rPr>
          <w:b/>
        </w:rPr>
        <w:t xml:space="preserve">hared </w:t>
      </w:r>
      <w:r>
        <w:rPr>
          <w:b/>
        </w:rPr>
        <w:t>a</w:t>
      </w:r>
      <w:r w:rsidR="00D43DC8">
        <w:rPr>
          <w:b/>
        </w:rPr>
        <w:t xml:space="preserve">ccess </w:t>
      </w:r>
      <w:r>
        <w:rPr>
          <w:b/>
        </w:rPr>
        <w:t>s</w:t>
      </w:r>
      <w:r w:rsidR="00D43DC8">
        <w:rPr>
          <w:b/>
        </w:rPr>
        <w:t>witch</w:t>
      </w:r>
      <w:r w:rsidR="00D43DC8">
        <w:t xml:space="preserve"> is a switch device which can support multiple ports for more than one customer, where each port provides a network boundary demarcation point.  </w:t>
      </w:r>
    </w:p>
    <w:p w14:paraId="3B778197" w14:textId="77777777" w:rsidR="00D43DC8" w:rsidRDefault="00D43DC8">
      <w:pPr>
        <w:pStyle w:val="Indent2"/>
      </w:pPr>
    </w:p>
    <w:p w14:paraId="72B36122" w14:textId="77777777" w:rsidR="00D43DC8" w:rsidRDefault="00D43DC8">
      <w:pPr>
        <w:pStyle w:val="Indent2"/>
        <w:rPr>
          <w:sz w:val="22"/>
        </w:rPr>
      </w:pPr>
    </w:p>
    <w:sectPr w:rsidR="00D43DC8">
      <w:headerReference w:type="default" r:id="rId20"/>
      <w:footerReference w:type="even" r:id="rId21"/>
      <w:footerReference w:type="default" r:id="rId22"/>
      <w:headerReference w:type="first" r:id="rId23"/>
      <w:footerReference w:type="first" r:id="rId24"/>
      <w:pgSz w:w="11907" w:h="16840" w:code="9"/>
      <w:pgMar w:top="1134" w:right="1559" w:bottom="1418" w:left="1843"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1E3F0" w14:textId="77777777" w:rsidR="00D8186F" w:rsidRDefault="00D8186F">
      <w:pPr>
        <w:pStyle w:val="Indent2"/>
      </w:pPr>
      <w:r>
        <w:separator/>
      </w:r>
    </w:p>
  </w:endnote>
  <w:endnote w:type="continuationSeparator" w:id="0">
    <w:p w14:paraId="7B69C806" w14:textId="77777777" w:rsidR="00D8186F" w:rsidRDefault="00D8186F">
      <w:pPr>
        <w:pStyle w:val="Inden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Calibri"/>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05BC7" w14:textId="77777777" w:rsidR="004A1F36" w:rsidRDefault="004A1F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312DBBCF" w14:textId="77777777" w:rsidR="004A1F36" w:rsidRDefault="004A1F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EC5E1" w14:textId="77777777" w:rsidR="004A1F36" w:rsidRDefault="004A1F36">
    <w:pPr>
      <w:pStyle w:val="Footer"/>
      <w:ind w:right="360"/>
    </w:pPr>
    <w:r>
      <w:rPr>
        <w:bCs/>
        <w:noProof/>
        <w:sz w:val="20"/>
        <w:lang w:val="en-US"/>
      </w:rPr>
      <w:t>The Ethernet MAN section</w:t>
    </w:r>
    <w:r>
      <w:rPr>
        <w:bCs/>
        <w:sz w:val="21"/>
      </w:rPr>
      <w:t xml:space="preserve"> was last changed on 1</w:t>
    </w:r>
    <w:r w:rsidR="00B32FE3">
      <w:rPr>
        <w:bCs/>
        <w:sz w:val="21"/>
      </w:rPr>
      <w:t>9 November 2018</w:t>
    </w:r>
    <w:r>
      <w:rPr>
        <w:bCs/>
        <w:sz w:val="21"/>
      </w:rPr>
      <w:t>.</w:t>
    </w:r>
    <w:r>
      <w:rPr>
        <w:noProof/>
      </w:rPr>
      <w:pict w14:anchorId="08BCB6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23.4pt;margin-top:776.6pt;width:66.2pt;height:66.2pt;z-index:3;mso-wrap-distance-top:28.35pt;mso-position-horizontal-relative:page;mso-position-vertical-relative:page" o:allowincell="f">
          <v:imagedata r:id="rId1" o:title="telstra-wordmk"/>
          <w10:wrap type="topAndBottom" side="left" anchorx="page" anchory="page"/>
        </v:shape>
      </w:pic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4D737" w14:textId="77777777" w:rsidR="004D3525" w:rsidRDefault="004D35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F7AB7" w14:textId="77777777" w:rsidR="004A1F36" w:rsidRDefault="004A1F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52A37554" w14:textId="77777777" w:rsidR="004A1F36" w:rsidRDefault="004A1F3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68452" w14:textId="77777777" w:rsidR="004A1F36" w:rsidRDefault="004A1F36">
    <w:pPr>
      <w:pStyle w:val="Footer"/>
      <w:ind w:right="360"/>
    </w:pPr>
    <w:r>
      <w:rPr>
        <w:bCs/>
        <w:noProof/>
        <w:sz w:val="20"/>
        <w:lang w:val="en-US"/>
      </w:rPr>
      <w:t>The Ethernet MAN section</w:t>
    </w:r>
    <w:r>
      <w:rPr>
        <w:bCs/>
        <w:sz w:val="21"/>
      </w:rPr>
      <w:t xml:space="preserve"> was last changed on </w:t>
    </w:r>
    <w:r w:rsidR="00B32FE3">
      <w:rPr>
        <w:bCs/>
        <w:sz w:val="21"/>
      </w:rPr>
      <w:t>19 November 2018</w:t>
    </w:r>
    <w:r>
      <w:rPr>
        <w:bCs/>
        <w:sz w:val="21"/>
      </w:rPr>
      <w:t>.</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12931" w14:textId="77777777" w:rsidR="004D3525" w:rsidRDefault="004D3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F794B" w14:textId="77777777" w:rsidR="00D8186F" w:rsidRDefault="00D8186F">
      <w:pPr>
        <w:pStyle w:val="Indent2"/>
      </w:pPr>
      <w:r>
        <w:separator/>
      </w:r>
    </w:p>
  </w:footnote>
  <w:footnote w:type="continuationSeparator" w:id="0">
    <w:p w14:paraId="30D5D0AF" w14:textId="77777777" w:rsidR="00D8186F" w:rsidRDefault="00D8186F">
      <w:pPr>
        <w:pStyle w:val="Indent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C34B9" w14:textId="77777777" w:rsidR="004A1F36" w:rsidRDefault="004A1F36">
    <w:pPr>
      <w:pStyle w:val="Header"/>
      <w:tabs>
        <w:tab w:val="right" w:pos="8505"/>
      </w:tabs>
      <w:rPr>
        <w:rStyle w:val="PageNumber"/>
        <w:rFonts w:ascii="Courier New" w:hAnsi="Courier New"/>
        <w:color w:val="FF0000"/>
        <w:sz w:val="4"/>
      </w:rPr>
    </w:pPr>
  </w:p>
  <w:p w14:paraId="5CBF8641" w14:textId="77777777" w:rsidR="004A1F36" w:rsidRDefault="004A1F36">
    <w:pPr>
      <w:pStyle w:val="Header"/>
      <w:tabs>
        <w:tab w:val="right" w:pos="8505"/>
      </w:tabs>
      <w:rPr>
        <w:rStyle w:val="PageNumber"/>
      </w:rPr>
    </w:pPr>
    <w:r>
      <w:rPr>
        <w:rFonts w:ascii="Times New Roman" w:hAnsi="Times New Roman"/>
        <w:noProof/>
      </w:rPr>
      <w:pict w14:anchorId="17573C9B">
        <v:rect id="_x0000_s1026" style="position:absolute;margin-left:196.7pt;margin-top:-106.1pt;width:223.25pt;height:43.25pt;z-index:2" o:allowincell="f" filled="f" stroked="f">
          <v:textbox style="mso-next-textbox:#_x0000_s1026" inset="1pt,1pt,1pt,1pt">
            <w:txbxContent>
              <w:p w14:paraId="3B30ABBD" w14:textId="77777777" w:rsidR="004A1F36" w:rsidRDefault="004A1F36">
                <w:pPr>
                  <w:jc w:val="right"/>
                  <w:rPr>
                    <w:rFonts w:ascii="Arial" w:hAnsi="Arial"/>
                    <w:sz w:val="18"/>
                  </w:rPr>
                </w:pPr>
                <w:r>
                  <w:rPr>
                    <w:rFonts w:ascii="Arial" w:hAnsi="Arial"/>
                    <w:sz w:val="18"/>
                  </w:rPr>
                  <w:t>DRAFT [NO.]: [Date]</w:t>
                </w:r>
              </w:p>
              <w:p w14:paraId="553951F1" w14:textId="77777777" w:rsidR="004A1F36" w:rsidRDefault="004A1F36">
                <w:pPr>
                  <w:jc w:val="right"/>
                  <w:rPr>
                    <w:rFonts w:ascii="Arial" w:hAnsi="Arial"/>
                    <w:sz w:val="18"/>
                  </w:rPr>
                </w:pPr>
                <w:r>
                  <w:rPr>
                    <w:rFonts w:ascii="Arial" w:hAnsi="Arial"/>
                    <w:sz w:val="18"/>
                  </w:rPr>
                  <w:t>Marked to show changes from draft [No.]: [Date]</w:t>
                </w:r>
              </w:p>
            </w:txbxContent>
          </v:textbox>
        </v:rect>
      </w:pict>
    </w:r>
    <w:r>
      <w:rPr>
        <w:rStyle w:val="PageNumber"/>
      </w:rPr>
      <w:t>Our Customer Terms</w:t>
    </w:r>
    <w:r>
      <w:rPr>
        <w:rStyle w:val="PageNumber"/>
      </w:rPr>
      <w:tab/>
    </w:r>
    <w:r>
      <w:rPr>
        <w:rStyle w:val="PageNumber"/>
        <w:b w:val="0"/>
        <w:sz w:val="20"/>
      </w:rPr>
      <w:t xml:space="preserve">Page </w:t>
    </w:r>
    <w:r>
      <w:rPr>
        <w:rStyle w:val="PageNumber"/>
        <w:b w:val="0"/>
        <w:sz w:val="20"/>
      </w:rPr>
      <w:fldChar w:fldCharType="begin"/>
    </w:r>
    <w:r>
      <w:rPr>
        <w:rStyle w:val="PageNumber"/>
        <w:b w:val="0"/>
        <w:sz w:val="20"/>
      </w:rPr>
      <w:instrText xml:space="preserve"> PAGE </w:instrText>
    </w:r>
    <w:r>
      <w:rPr>
        <w:rStyle w:val="PageNumber"/>
        <w:b w:val="0"/>
        <w:sz w:val="20"/>
      </w:rPr>
      <w:fldChar w:fldCharType="separate"/>
    </w:r>
    <w:r w:rsidR="003D2D41">
      <w:rPr>
        <w:rStyle w:val="PageNumber"/>
        <w:b w:val="0"/>
        <w:noProof/>
        <w:sz w:val="20"/>
      </w:rPr>
      <w:t>1</w:t>
    </w:r>
    <w:r>
      <w:rPr>
        <w:rStyle w:val="PageNumber"/>
        <w:b w:val="0"/>
        <w:sz w:val="20"/>
      </w:rPr>
      <w:fldChar w:fldCharType="end"/>
    </w:r>
    <w:r>
      <w:rPr>
        <w:rStyle w:val="PageNumber"/>
        <w:b w:val="0"/>
        <w:sz w:val="20"/>
      </w:rPr>
      <w:t xml:space="preserve"> of </w:t>
    </w:r>
    <w:r>
      <w:rPr>
        <w:rStyle w:val="PageNumber"/>
        <w:b w:val="0"/>
        <w:sz w:val="20"/>
      </w:rPr>
      <w:fldChar w:fldCharType="begin"/>
    </w:r>
    <w:r>
      <w:rPr>
        <w:rStyle w:val="PageNumber"/>
        <w:b w:val="0"/>
        <w:sz w:val="20"/>
      </w:rPr>
      <w:instrText xml:space="preserve"> NUMPAGES </w:instrText>
    </w:r>
    <w:r>
      <w:rPr>
        <w:rStyle w:val="PageNumber"/>
        <w:b w:val="0"/>
        <w:sz w:val="20"/>
      </w:rPr>
      <w:fldChar w:fldCharType="separate"/>
    </w:r>
    <w:r w:rsidR="003D2D41">
      <w:rPr>
        <w:rStyle w:val="PageNumber"/>
        <w:b w:val="0"/>
        <w:noProof/>
        <w:sz w:val="20"/>
      </w:rPr>
      <w:t>25</w:t>
    </w:r>
    <w:r>
      <w:rPr>
        <w:rStyle w:val="PageNumber"/>
        <w:b w:val="0"/>
        <w:sz w:val="20"/>
      </w:rPr>
      <w:fldChar w:fldCharType="end"/>
    </w:r>
  </w:p>
  <w:p w14:paraId="3A8E5EEE" w14:textId="77777777" w:rsidR="004A1F36" w:rsidRDefault="004A1F36">
    <w:pPr>
      <w:pStyle w:val="Headersub"/>
      <w:rPr>
        <w:rStyle w:val="PageNumber"/>
      </w:rPr>
    </w:pPr>
    <w:r>
      <w:rPr>
        <w:rStyle w:val="PageNumber"/>
      </w:rPr>
      <w:t>Ethernet MAN Section (non-current plans before 13 August 2013)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08408" w14:textId="77777777" w:rsidR="004A1F36" w:rsidRDefault="004A1F36">
    <w:pPr>
      <w:pStyle w:val="Header"/>
      <w:pBdr>
        <w:bottom w:val="single" w:sz="8" w:space="1" w:color="auto"/>
      </w:pBdr>
      <w:tabs>
        <w:tab w:val="right" w:pos="8505"/>
      </w:tabs>
      <w:rPr>
        <w:rStyle w:val="PageNumber"/>
        <w:rFonts w:ascii="Courier New" w:hAnsi="Courier New"/>
        <w:color w:val="FF0000"/>
        <w:sz w:val="4"/>
      </w:rPr>
    </w:pPr>
    <w:r>
      <w:rPr>
        <w:rStyle w:val="PageNumber"/>
        <w:rFonts w:ascii="Courier New" w:hAnsi="Courier New"/>
        <w:noProof/>
        <w:color w:val="FF0000"/>
        <w:sz w:val="6"/>
        <w:lang w:val="en-US"/>
      </w:rPr>
      <w:pict w14:anchorId="4AA06C28">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8" type="#_x0000_t172" style="position:absolute;margin-left:83.65pt;margin-top:374.95pt;width:323.25pt;height:149.05pt;z-index:-5;mso-wrap-edited:f;mso-position-horizontal-relative:page;mso-position-vertical-relative:page" wrapcoords="20798 1737 17541 2279 16588 2605 16338 4993 15887 6513 15887 6947 16288 6947 11677 8575 11376 9118 10975 10094 2456 11288 351 11614 351 12157 -50 12265 -50 12591 401 13893 301 20840 100 20949 -50 21166 -50 21383 10775 21383 1503 20840 2857 19429 3308 19104 7467 17584 7618 17367 7568 16607 7267 15630 10224 15630 13030 14762 13130 13893 16839 12265 17340 12157 17340 11723 16889 10420 19696 10420 21600 9769 21600 8358 21049 6947 21099 5210 21600 3690 21600 3473 21049 1737 20798 1737" o:allowoverlap="f" fillcolor="yellow" stroked="f">
          <v:shadow color="#868686"/>
          <v:textpath style="font-family:&quot;Times New Roman&quot;;v-text-kern:t" trim="t" fitpath="t" string="D  r  a  f  t"/>
          <o:lock v:ext="edit" aspectratio="t"/>
          <w10:wrap anchorx="page" anchory="page"/>
          <w10:anchorlock/>
        </v:shape>
      </w:pict>
    </w:r>
  </w:p>
  <w:p w14:paraId="4BB5CBEC" w14:textId="77777777" w:rsidR="004A1F36" w:rsidRDefault="004A1F36">
    <w:pPr>
      <w:pStyle w:val="Header"/>
      <w:pBdr>
        <w:bottom w:val="single" w:sz="8" w:space="1" w:color="auto"/>
      </w:pBdr>
      <w:tabs>
        <w:tab w:val="right" w:pos="8505"/>
      </w:tabs>
      <w:rPr>
        <w:rStyle w:val="PageNumber"/>
      </w:rPr>
    </w:pPr>
    <w:r>
      <w:rPr>
        <w:rFonts w:ascii="Times New Roman" w:hAnsi="Times New Roman"/>
        <w:noProof/>
      </w:rPr>
      <w:pict w14:anchorId="07622229">
        <v:rect id="_x0000_s1025" style="position:absolute;margin-left:196.7pt;margin-top:-106.1pt;width:223.25pt;height:43.25pt;z-index:1" o:allowincell="f" filled="f" stroked="f">
          <v:textbox style="mso-next-textbox:#_x0000_s1025" inset="1pt,1pt,1pt,1pt">
            <w:txbxContent>
              <w:p w14:paraId="6CB5E6F8" w14:textId="77777777" w:rsidR="004A1F36" w:rsidRDefault="004A1F36">
                <w:pPr>
                  <w:jc w:val="right"/>
                  <w:rPr>
                    <w:rFonts w:ascii="Arial" w:hAnsi="Arial"/>
                    <w:sz w:val="18"/>
                  </w:rPr>
                </w:pPr>
                <w:r>
                  <w:rPr>
                    <w:rFonts w:ascii="Arial" w:hAnsi="Arial"/>
                    <w:sz w:val="18"/>
                  </w:rPr>
                  <w:t>DRAFT [NO.]: [Date]</w:t>
                </w:r>
              </w:p>
              <w:p w14:paraId="196AA68A" w14:textId="77777777" w:rsidR="004A1F36" w:rsidRDefault="004A1F36">
                <w:pPr>
                  <w:jc w:val="right"/>
                  <w:rPr>
                    <w:rFonts w:ascii="Arial" w:hAnsi="Arial"/>
                    <w:sz w:val="18"/>
                  </w:rPr>
                </w:pPr>
                <w:r>
                  <w:rPr>
                    <w:rFonts w:ascii="Arial" w:hAnsi="Arial"/>
                    <w:sz w:val="18"/>
                  </w:rPr>
                  <w:t>Marked to show changes from draft [No.]: [Date]</w:t>
                </w:r>
              </w:p>
            </w:txbxContent>
          </v:textbox>
        </v:rect>
      </w:pict>
    </w:r>
    <w:r>
      <w:rPr>
        <w:rStyle w:val="PageNumber"/>
      </w:rPr>
      <w:t>Our Customer Terms</w:t>
    </w:r>
  </w:p>
  <w:p w14:paraId="185CEC3D" w14:textId="77777777" w:rsidR="004A1F36" w:rsidRDefault="004A1F36">
    <w:pPr>
      <w:pStyle w:val="Header"/>
      <w:pBdr>
        <w:bottom w:val="single" w:sz="8" w:space="1" w:color="auto"/>
      </w:pBdr>
      <w:tabs>
        <w:tab w:val="right" w:pos="8505"/>
      </w:tabs>
      <w:rPr>
        <w:rStyle w:val="PageNumber"/>
        <w:b w:val="0"/>
      </w:rPr>
    </w:pPr>
    <w:r>
      <w:rPr>
        <w:rStyle w:val="PageNumber"/>
        <w:b w:val="0"/>
      </w:rPr>
      <w:t>General Terms</w:t>
    </w:r>
  </w:p>
  <w:p w14:paraId="3FDF9FED" w14:textId="77777777" w:rsidR="004A1F36" w:rsidRDefault="004A1F36">
    <w:pPr>
      <w:pStyle w:val="Header"/>
      <w:pBdr>
        <w:bottom w:val="single" w:sz="8" w:space="1" w:color="auto"/>
      </w:pBdr>
      <w:tabs>
        <w:tab w:val="right" w:pos="8505"/>
      </w:tabs>
      <w:rPr>
        <w:rFonts w:ascii="Times New Roman" w:hAnsi="Times New Roman"/>
        <w:b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7A4ED" w14:textId="77777777" w:rsidR="004A1F36" w:rsidRDefault="004A1F36">
    <w:pPr>
      <w:pStyle w:val="Header"/>
      <w:tabs>
        <w:tab w:val="right" w:pos="8505"/>
      </w:tabs>
      <w:rPr>
        <w:rStyle w:val="PageNumber"/>
        <w:rFonts w:ascii="Courier New" w:hAnsi="Courier New"/>
        <w:color w:val="FF0000"/>
        <w:sz w:val="4"/>
      </w:rPr>
    </w:pPr>
    <w:r>
      <w:rPr>
        <w:rStyle w:val="PageNumber"/>
        <w:rFonts w:ascii="Courier New" w:hAnsi="Courier New"/>
        <w:noProof/>
        <w:color w:val="FF0000"/>
        <w:sz w:val="6"/>
        <w:lang w:val="en-US"/>
      </w:rPr>
      <w:pict w14:anchorId="5AC53A63">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2" type="#_x0000_t172" style="position:absolute;margin-left:83.65pt;margin-top:374.95pt;width:323.25pt;height:149.05pt;z-index:-2;mso-wrap-edited:f;mso-position-horizontal-relative:page;mso-position-vertical-relative:page" o:allowoverlap="f" filled="f" fillcolor="yellow" stroked="f">
          <v:shadow color="#868686"/>
          <v:textpath style="font-family:&quot;Times New Roman&quot;;v-text-kern:t" trim="t" fitpath="t" string="D  r  a  f  t"/>
          <o:lock v:ext="edit" aspectratio="t"/>
          <w10:wrap anchorx="page" anchory="page"/>
          <w10:anchorlock/>
        </v:shape>
      </w:pict>
    </w:r>
  </w:p>
  <w:p w14:paraId="311ED70A" w14:textId="77777777" w:rsidR="004A1F36" w:rsidRDefault="004A1F36">
    <w:pPr>
      <w:pStyle w:val="Header"/>
      <w:tabs>
        <w:tab w:val="right" w:pos="8505"/>
      </w:tabs>
      <w:rPr>
        <w:rStyle w:val="PageNumber"/>
      </w:rPr>
    </w:pPr>
    <w:r>
      <w:rPr>
        <w:rFonts w:ascii="Times New Roman" w:hAnsi="Times New Roman"/>
        <w:noProof/>
      </w:rPr>
      <w:pict w14:anchorId="5B5DCA58">
        <v:rect id="_x0000_s1030" style="position:absolute;margin-left:196.7pt;margin-top:-106.1pt;width:223.25pt;height:43.25pt;z-index:6" o:allowincell="f" filled="f" stroked="f">
          <v:textbox style="mso-next-textbox:#_x0000_s1030" inset="1pt,1pt,1pt,1pt">
            <w:txbxContent>
              <w:p w14:paraId="7A391432" w14:textId="77777777" w:rsidR="004A1F36" w:rsidRDefault="004A1F36">
                <w:pPr>
                  <w:jc w:val="right"/>
                  <w:rPr>
                    <w:rFonts w:ascii="Arial" w:hAnsi="Arial"/>
                    <w:sz w:val="18"/>
                  </w:rPr>
                </w:pPr>
                <w:r>
                  <w:rPr>
                    <w:rFonts w:ascii="Arial" w:hAnsi="Arial"/>
                    <w:sz w:val="18"/>
                  </w:rPr>
                  <w:t>DRAFT [NO.]: [Date]</w:t>
                </w:r>
              </w:p>
              <w:p w14:paraId="7AC8C8CF" w14:textId="77777777" w:rsidR="004A1F36" w:rsidRDefault="004A1F36">
                <w:pPr>
                  <w:jc w:val="right"/>
                  <w:rPr>
                    <w:rFonts w:ascii="Arial" w:hAnsi="Arial"/>
                    <w:sz w:val="18"/>
                  </w:rPr>
                </w:pPr>
                <w:r>
                  <w:rPr>
                    <w:rFonts w:ascii="Arial" w:hAnsi="Arial"/>
                    <w:sz w:val="18"/>
                  </w:rPr>
                  <w:t>Marked to show changes from draft [No.]: [Date]</w:t>
                </w:r>
              </w:p>
            </w:txbxContent>
          </v:textbox>
        </v:rect>
      </w:pict>
    </w:r>
    <w:r>
      <w:rPr>
        <w:rStyle w:val="PageNumber"/>
      </w:rPr>
      <w:t>Our Customer Terms</w:t>
    </w:r>
    <w:r>
      <w:rPr>
        <w:rStyle w:val="PageNumber"/>
      </w:rPr>
      <w:tab/>
    </w:r>
    <w:r>
      <w:rPr>
        <w:rStyle w:val="PageNumber"/>
        <w:b w:val="0"/>
        <w:sz w:val="20"/>
      </w:rPr>
      <w:t xml:space="preserve">Page </w:t>
    </w:r>
    <w:r>
      <w:rPr>
        <w:rStyle w:val="PageNumber"/>
        <w:b w:val="0"/>
        <w:sz w:val="20"/>
      </w:rPr>
      <w:fldChar w:fldCharType="begin"/>
    </w:r>
    <w:r>
      <w:rPr>
        <w:rStyle w:val="PageNumber"/>
        <w:b w:val="0"/>
        <w:sz w:val="20"/>
      </w:rPr>
      <w:instrText xml:space="preserve"> PAGE </w:instrText>
    </w:r>
    <w:r>
      <w:rPr>
        <w:rStyle w:val="PageNumber"/>
        <w:b w:val="0"/>
        <w:sz w:val="20"/>
      </w:rPr>
      <w:fldChar w:fldCharType="separate"/>
    </w:r>
    <w:r w:rsidR="003D2D41">
      <w:rPr>
        <w:rStyle w:val="PageNumber"/>
        <w:b w:val="0"/>
        <w:noProof/>
        <w:sz w:val="20"/>
      </w:rPr>
      <w:t>21</w:t>
    </w:r>
    <w:r>
      <w:rPr>
        <w:rStyle w:val="PageNumber"/>
        <w:b w:val="0"/>
        <w:sz w:val="20"/>
      </w:rPr>
      <w:fldChar w:fldCharType="end"/>
    </w:r>
    <w:r>
      <w:rPr>
        <w:rStyle w:val="PageNumber"/>
        <w:b w:val="0"/>
        <w:sz w:val="20"/>
      </w:rPr>
      <w:t xml:space="preserve"> of </w:t>
    </w:r>
    <w:r>
      <w:rPr>
        <w:rStyle w:val="PageNumber"/>
        <w:b w:val="0"/>
        <w:sz w:val="20"/>
      </w:rPr>
      <w:fldChar w:fldCharType="begin"/>
    </w:r>
    <w:r>
      <w:rPr>
        <w:rStyle w:val="PageNumber"/>
        <w:b w:val="0"/>
        <w:sz w:val="20"/>
      </w:rPr>
      <w:instrText xml:space="preserve"> NUMPAGES </w:instrText>
    </w:r>
    <w:r>
      <w:rPr>
        <w:rStyle w:val="PageNumber"/>
        <w:b w:val="0"/>
        <w:sz w:val="20"/>
      </w:rPr>
      <w:fldChar w:fldCharType="separate"/>
    </w:r>
    <w:r w:rsidR="003D2D41">
      <w:rPr>
        <w:rStyle w:val="PageNumber"/>
        <w:b w:val="0"/>
        <w:noProof/>
        <w:sz w:val="20"/>
      </w:rPr>
      <w:t>25</w:t>
    </w:r>
    <w:r>
      <w:rPr>
        <w:rStyle w:val="PageNumber"/>
        <w:b w:val="0"/>
        <w:sz w:val="20"/>
      </w:rPr>
      <w:fldChar w:fldCharType="end"/>
    </w:r>
  </w:p>
  <w:p w14:paraId="072C6FCB" w14:textId="77777777" w:rsidR="004A1F36" w:rsidRDefault="004A1F36">
    <w:pPr>
      <w:pStyle w:val="Headersub"/>
      <w:rPr>
        <w:rStyle w:val="PageNumber"/>
      </w:rPr>
    </w:pPr>
    <w:r>
      <w:rPr>
        <w:rStyle w:val="PageNumber"/>
      </w:rPr>
      <w:t>Ethernet MAN Section (non-current plans before 13 August 2013)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3C653" w14:textId="77777777" w:rsidR="004A1F36" w:rsidRDefault="004A1F36">
    <w:pPr>
      <w:pStyle w:val="Header"/>
      <w:pBdr>
        <w:bottom w:val="single" w:sz="8" w:space="1" w:color="auto"/>
      </w:pBdr>
      <w:tabs>
        <w:tab w:val="right" w:pos="8505"/>
      </w:tabs>
      <w:rPr>
        <w:rStyle w:val="PageNumber"/>
        <w:rFonts w:ascii="Courier New" w:hAnsi="Courier New"/>
        <w:color w:val="FF0000"/>
        <w:sz w:val="4"/>
      </w:rPr>
    </w:pPr>
    <w:r>
      <w:rPr>
        <w:rStyle w:val="PageNumber"/>
        <w:rFonts w:ascii="Courier New" w:hAnsi="Courier New"/>
        <w:noProof/>
        <w:color w:val="FF0000"/>
        <w:sz w:val="6"/>
        <w:lang w:val="en-US"/>
      </w:rPr>
      <w:pict w14:anchorId="38287EC4">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3" type="#_x0000_t172" style="position:absolute;margin-left:83.65pt;margin-top:374.95pt;width:323.25pt;height:149.05pt;z-index:-1;mso-wrap-edited:f;mso-position-horizontal-relative:page;mso-position-vertical-relative:page" wrapcoords="20798 1737 17541 2279 16588 2605 16338 4993 15887 6513 15887 6947 16288 6947 11677 8575 11376 9118 10975 10094 2456 11288 351 11614 351 12157 -50 12265 -50 12591 401 13893 301 20840 100 20949 -50 21166 -50 21383 10775 21383 1503 20840 2857 19429 3308 19104 7467 17584 7618 17367 7568 16607 7267 15630 10224 15630 13030 14762 13130 13893 16839 12265 17340 12157 17340 11723 16889 10420 19696 10420 21600 9769 21600 8358 21049 6947 21099 5210 21600 3690 21600 3473 21049 1737 20798 1737" o:allowoverlap="f" fillcolor="yellow" stroked="f">
          <v:shadow color="#868686"/>
          <v:textpath style="font-family:&quot;Times New Roman&quot;;v-text-kern:t" trim="t" fitpath="t" string="D  r  a  f  t"/>
          <o:lock v:ext="edit" aspectratio="t"/>
          <w10:wrap anchorx="page" anchory="page"/>
          <w10:anchorlock/>
        </v:shape>
      </w:pict>
    </w:r>
  </w:p>
  <w:p w14:paraId="49DC239C" w14:textId="77777777" w:rsidR="004A1F36" w:rsidRDefault="004A1F36">
    <w:pPr>
      <w:pStyle w:val="Header"/>
      <w:pBdr>
        <w:bottom w:val="single" w:sz="8" w:space="1" w:color="auto"/>
      </w:pBdr>
      <w:tabs>
        <w:tab w:val="right" w:pos="8505"/>
      </w:tabs>
      <w:rPr>
        <w:rStyle w:val="PageNumber"/>
      </w:rPr>
    </w:pPr>
    <w:r>
      <w:rPr>
        <w:rFonts w:ascii="Times New Roman" w:hAnsi="Times New Roman"/>
        <w:noProof/>
      </w:rPr>
      <w:pict w14:anchorId="0493F528">
        <v:rect id="_x0000_s1029" style="position:absolute;margin-left:196.7pt;margin-top:-106.1pt;width:223.25pt;height:43.25pt;z-index:5" o:allowincell="f" filled="f" stroked="f">
          <v:textbox style="mso-next-textbox:#_x0000_s1029" inset="1pt,1pt,1pt,1pt">
            <w:txbxContent>
              <w:p w14:paraId="5AC10138" w14:textId="77777777" w:rsidR="004A1F36" w:rsidRDefault="004A1F36">
                <w:pPr>
                  <w:jc w:val="right"/>
                  <w:rPr>
                    <w:rFonts w:ascii="Arial" w:hAnsi="Arial"/>
                    <w:sz w:val="18"/>
                  </w:rPr>
                </w:pPr>
                <w:r>
                  <w:rPr>
                    <w:rFonts w:ascii="Arial" w:hAnsi="Arial"/>
                    <w:sz w:val="18"/>
                  </w:rPr>
                  <w:t>DRAFT [NO.]: [Date]</w:t>
                </w:r>
              </w:p>
              <w:p w14:paraId="3958B2A3" w14:textId="77777777" w:rsidR="004A1F36" w:rsidRDefault="004A1F36">
                <w:pPr>
                  <w:jc w:val="right"/>
                  <w:rPr>
                    <w:rFonts w:ascii="Arial" w:hAnsi="Arial"/>
                    <w:sz w:val="18"/>
                  </w:rPr>
                </w:pPr>
                <w:r>
                  <w:rPr>
                    <w:rFonts w:ascii="Arial" w:hAnsi="Arial"/>
                    <w:sz w:val="18"/>
                  </w:rPr>
                  <w:t>Marked to show changes from draft [No.]: [Date]</w:t>
                </w:r>
              </w:p>
            </w:txbxContent>
          </v:textbox>
        </v:rect>
      </w:pict>
    </w:r>
    <w:r>
      <w:rPr>
        <w:rStyle w:val="PageNumber"/>
      </w:rPr>
      <w:t>Our Customer Terms</w:t>
    </w:r>
  </w:p>
  <w:p w14:paraId="1D4F0020" w14:textId="77777777" w:rsidR="004A1F36" w:rsidRDefault="004A1F36">
    <w:pPr>
      <w:pStyle w:val="Header"/>
      <w:pBdr>
        <w:bottom w:val="single" w:sz="8" w:space="1" w:color="auto"/>
      </w:pBdr>
      <w:tabs>
        <w:tab w:val="right" w:pos="8505"/>
      </w:tabs>
      <w:rPr>
        <w:rStyle w:val="PageNumber"/>
        <w:b w:val="0"/>
      </w:rPr>
    </w:pPr>
    <w:r>
      <w:rPr>
        <w:rStyle w:val="PageNumber"/>
        <w:b w:val="0"/>
      </w:rPr>
      <w:t>Ethernet MAN</w:t>
    </w:r>
  </w:p>
  <w:p w14:paraId="7AC4870A" w14:textId="77777777" w:rsidR="004A1F36" w:rsidRDefault="004A1F36">
    <w:pPr>
      <w:pStyle w:val="Header"/>
      <w:pBdr>
        <w:bottom w:val="single" w:sz="8" w:space="1" w:color="auto"/>
      </w:pBdr>
      <w:tabs>
        <w:tab w:val="right" w:pos="8505"/>
      </w:tabs>
      <w:rPr>
        <w:rFonts w:ascii="Times New Roman" w:hAnsi="Times New Roman"/>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01560"/>
    <w:multiLevelType w:val="multilevel"/>
    <w:tmpl w:val="1F1A9184"/>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1" w15:restartNumberingAfterBreak="0">
    <w:nsid w:val="35A53347"/>
    <w:multiLevelType w:val="hybridMultilevel"/>
    <w:tmpl w:val="B93EFCAA"/>
    <w:lvl w:ilvl="0" w:tplc="04090001">
      <w:start w:val="1"/>
      <w:numFmt w:val="bullet"/>
      <w:lvlText w:val=""/>
      <w:lvlJc w:val="left"/>
      <w:pPr>
        <w:tabs>
          <w:tab w:val="num" w:pos="1097"/>
        </w:tabs>
        <w:ind w:left="1097" w:hanging="360"/>
      </w:pPr>
      <w:rPr>
        <w:rFonts w:ascii="Symbol" w:hAnsi="Symbol" w:hint="default"/>
      </w:rPr>
    </w:lvl>
    <w:lvl w:ilvl="1" w:tplc="04090003" w:tentative="1">
      <w:start w:val="1"/>
      <w:numFmt w:val="bullet"/>
      <w:lvlText w:val="o"/>
      <w:lvlJc w:val="left"/>
      <w:pPr>
        <w:tabs>
          <w:tab w:val="num" w:pos="1817"/>
        </w:tabs>
        <w:ind w:left="1817" w:hanging="360"/>
      </w:pPr>
      <w:rPr>
        <w:rFonts w:ascii="Courier New" w:hAnsi="Courier New" w:hint="default"/>
      </w:rPr>
    </w:lvl>
    <w:lvl w:ilvl="2" w:tplc="04090005" w:tentative="1">
      <w:start w:val="1"/>
      <w:numFmt w:val="bullet"/>
      <w:lvlText w:val=""/>
      <w:lvlJc w:val="left"/>
      <w:pPr>
        <w:tabs>
          <w:tab w:val="num" w:pos="2537"/>
        </w:tabs>
        <w:ind w:left="2537" w:hanging="360"/>
      </w:pPr>
      <w:rPr>
        <w:rFonts w:ascii="Wingdings" w:hAnsi="Wingdings" w:hint="default"/>
      </w:rPr>
    </w:lvl>
    <w:lvl w:ilvl="3" w:tplc="04090001" w:tentative="1">
      <w:start w:val="1"/>
      <w:numFmt w:val="bullet"/>
      <w:lvlText w:val=""/>
      <w:lvlJc w:val="left"/>
      <w:pPr>
        <w:tabs>
          <w:tab w:val="num" w:pos="3257"/>
        </w:tabs>
        <w:ind w:left="3257" w:hanging="360"/>
      </w:pPr>
      <w:rPr>
        <w:rFonts w:ascii="Symbol" w:hAnsi="Symbol" w:hint="default"/>
      </w:rPr>
    </w:lvl>
    <w:lvl w:ilvl="4" w:tplc="04090003" w:tentative="1">
      <w:start w:val="1"/>
      <w:numFmt w:val="bullet"/>
      <w:lvlText w:val="o"/>
      <w:lvlJc w:val="left"/>
      <w:pPr>
        <w:tabs>
          <w:tab w:val="num" w:pos="3977"/>
        </w:tabs>
        <w:ind w:left="3977" w:hanging="360"/>
      </w:pPr>
      <w:rPr>
        <w:rFonts w:ascii="Courier New" w:hAnsi="Courier New" w:hint="default"/>
      </w:rPr>
    </w:lvl>
    <w:lvl w:ilvl="5" w:tplc="04090005" w:tentative="1">
      <w:start w:val="1"/>
      <w:numFmt w:val="bullet"/>
      <w:lvlText w:val=""/>
      <w:lvlJc w:val="left"/>
      <w:pPr>
        <w:tabs>
          <w:tab w:val="num" w:pos="4697"/>
        </w:tabs>
        <w:ind w:left="4697" w:hanging="360"/>
      </w:pPr>
      <w:rPr>
        <w:rFonts w:ascii="Wingdings" w:hAnsi="Wingdings" w:hint="default"/>
      </w:rPr>
    </w:lvl>
    <w:lvl w:ilvl="6" w:tplc="04090001" w:tentative="1">
      <w:start w:val="1"/>
      <w:numFmt w:val="bullet"/>
      <w:lvlText w:val=""/>
      <w:lvlJc w:val="left"/>
      <w:pPr>
        <w:tabs>
          <w:tab w:val="num" w:pos="5417"/>
        </w:tabs>
        <w:ind w:left="5417" w:hanging="360"/>
      </w:pPr>
      <w:rPr>
        <w:rFonts w:ascii="Symbol" w:hAnsi="Symbol" w:hint="default"/>
      </w:rPr>
    </w:lvl>
    <w:lvl w:ilvl="7" w:tplc="04090003" w:tentative="1">
      <w:start w:val="1"/>
      <w:numFmt w:val="bullet"/>
      <w:lvlText w:val="o"/>
      <w:lvlJc w:val="left"/>
      <w:pPr>
        <w:tabs>
          <w:tab w:val="num" w:pos="6137"/>
        </w:tabs>
        <w:ind w:left="6137" w:hanging="360"/>
      </w:pPr>
      <w:rPr>
        <w:rFonts w:ascii="Courier New" w:hAnsi="Courier New" w:hint="default"/>
      </w:rPr>
    </w:lvl>
    <w:lvl w:ilvl="8" w:tplc="04090005" w:tentative="1">
      <w:start w:val="1"/>
      <w:numFmt w:val="bullet"/>
      <w:lvlText w:val=""/>
      <w:lvlJc w:val="left"/>
      <w:pPr>
        <w:tabs>
          <w:tab w:val="num" w:pos="6857"/>
        </w:tabs>
        <w:ind w:left="6857" w:hanging="360"/>
      </w:pPr>
      <w:rPr>
        <w:rFonts w:ascii="Wingdings" w:hAnsi="Wingdings" w:hint="default"/>
      </w:rPr>
    </w:lvl>
  </w:abstractNum>
  <w:abstractNum w:abstractNumId="2"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3"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16cid:durableId="1595745772">
    <w:abstractNumId w:val="3"/>
  </w:num>
  <w:num w:numId="2" w16cid:durableId="390540989">
    <w:abstractNumId w:val="2"/>
  </w:num>
  <w:num w:numId="3" w16cid:durableId="908881929">
    <w:abstractNumId w:val="0"/>
  </w:num>
  <w:num w:numId="4" w16cid:durableId="1680309160">
    <w:abstractNumId w:val="1"/>
  </w:num>
  <w:num w:numId="5" w16cid:durableId="503207160">
    <w:abstractNumId w:val="0"/>
  </w:num>
  <w:num w:numId="6" w16cid:durableId="1793284404">
    <w:abstractNumId w:val="0"/>
  </w:num>
  <w:num w:numId="7" w16cid:durableId="1686978143">
    <w:abstractNumId w:val="0"/>
  </w:num>
  <w:num w:numId="8" w16cid:durableId="57216366">
    <w:abstractNumId w:val="0"/>
  </w:num>
  <w:num w:numId="9" w16cid:durableId="1689142621">
    <w:abstractNumId w:val="0"/>
  </w:num>
  <w:num w:numId="10" w16cid:durableId="854810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printColBlack/>
    <w:suppressSpBfAfterPgBrk/>
    <w:swapBordersFacingPages/>
    <w:convMailMergeEsc/>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_Type" w:val="MSJAGMTN"/>
    <w:docVar w:name="DocID" w:val="7276361"/>
    <w:docVar w:name="FirstTime" w:val="No"/>
    <w:docVar w:name="M_BRAND" w:val="YES"/>
  </w:docVars>
  <w:rsids>
    <w:rsidRoot w:val="00D43DC8"/>
    <w:rsid w:val="00046013"/>
    <w:rsid w:val="0006225A"/>
    <w:rsid w:val="00064999"/>
    <w:rsid w:val="00081948"/>
    <w:rsid w:val="00097D5A"/>
    <w:rsid w:val="000C78F9"/>
    <w:rsid w:val="00143897"/>
    <w:rsid w:val="00177FA1"/>
    <w:rsid w:val="001A4D17"/>
    <w:rsid w:val="001C1DAC"/>
    <w:rsid w:val="001E4EB5"/>
    <w:rsid w:val="001F27CE"/>
    <w:rsid w:val="0020063C"/>
    <w:rsid w:val="00207522"/>
    <w:rsid w:val="00220D31"/>
    <w:rsid w:val="002719F9"/>
    <w:rsid w:val="002B3325"/>
    <w:rsid w:val="002C6C50"/>
    <w:rsid w:val="002E2508"/>
    <w:rsid w:val="00304FB0"/>
    <w:rsid w:val="00305DA5"/>
    <w:rsid w:val="00344C01"/>
    <w:rsid w:val="00370B3A"/>
    <w:rsid w:val="003D2D41"/>
    <w:rsid w:val="00427B1D"/>
    <w:rsid w:val="00431863"/>
    <w:rsid w:val="004A0AB3"/>
    <w:rsid w:val="004A1F36"/>
    <w:rsid w:val="004D0A9E"/>
    <w:rsid w:val="004D3525"/>
    <w:rsid w:val="004E267B"/>
    <w:rsid w:val="0050254C"/>
    <w:rsid w:val="0059641E"/>
    <w:rsid w:val="005B7ED7"/>
    <w:rsid w:val="005C0C97"/>
    <w:rsid w:val="00660646"/>
    <w:rsid w:val="0067201C"/>
    <w:rsid w:val="006749A5"/>
    <w:rsid w:val="006A3A5A"/>
    <w:rsid w:val="006C24F4"/>
    <w:rsid w:val="00717790"/>
    <w:rsid w:val="00767D52"/>
    <w:rsid w:val="007925B7"/>
    <w:rsid w:val="007A344B"/>
    <w:rsid w:val="008F6229"/>
    <w:rsid w:val="00975130"/>
    <w:rsid w:val="00987B18"/>
    <w:rsid w:val="00A0264A"/>
    <w:rsid w:val="00A15E6A"/>
    <w:rsid w:val="00A50DBB"/>
    <w:rsid w:val="00A5337B"/>
    <w:rsid w:val="00A6196A"/>
    <w:rsid w:val="00A74D5F"/>
    <w:rsid w:val="00A96FCC"/>
    <w:rsid w:val="00AF73AF"/>
    <w:rsid w:val="00B11B61"/>
    <w:rsid w:val="00B25EC3"/>
    <w:rsid w:val="00B32FE3"/>
    <w:rsid w:val="00B939D6"/>
    <w:rsid w:val="00BB0D2E"/>
    <w:rsid w:val="00BB3EF8"/>
    <w:rsid w:val="00BB7AF7"/>
    <w:rsid w:val="00C068D3"/>
    <w:rsid w:val="00C24810"/>
    <w:rsid w:val="00C324B0"/>
    <w:rsid w:val="00C607A6"/>
    <w:rsid w:val="00C6173F"/>
    <w:rsid w:val="00C645DD"/>
    <w:rsid w:val="00C84A25"/>
    <w:rsid w:val="00C90EEA"/>
    <w:rsid w:val="00D05A1F"/>
    <w:rsid w:val="00D34C76"/>
    <w:rsid w:val="00D43DC8"/>
    <w:rsid w:val="00D578DD"/>
    <w:rsid w:val="00D64C3B"/>
    <w:rsid w:val="00D8186F"/>
    <w:rsid w:val="00DC45D5"/>
    <w:rsid w:val="00DE69FC"/>
    <w:rsid w:val="00E00CE0"/>
    <w:rsid w:val="00E7124F"/>
    <w:rsid w:val="00E744C3"/>
    <w:rsid w:val="00E7659F"/>
    <w:rsid w:val="00E768A5"/>
    <w:rsid w:val="00E77F9E"/>
    <w:rsid w:val="00E8683D"/>
    <w:rsid w:val="00E871CB"/>
    <w:rsid w:val="00EA51E0"/>
    <w:rsid w:val="00EB0FC0"/>
    <w:rsid w:val="00EC226F"/>
    <w:rsid w:val="00ED3D72"/>
    <w:rsid w:val="00EE7A0E"/>
    <w:rsid w:val="00EF6BEB"/>
    <w:rsid w:val="00F36E51"/>
    <w:rsid w:val="00F551DD"/>
    <w:rsid w:val="00F77B54"/>
    <w:rsid w:val="00F92EB7"/>
    <w:rsid w:val="00F931B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18223B91"/>
  <w15:chartTrackingRefBased/>
  <w15:docId w15:val="{17E5D0BB-1696-4407-8BBB-DC3756F99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Schedule Heading 1,Chapter,Heading1"/>
    <w:basedOn w:val="Normal"/>
    <w:next w:val="Heading2"/>
    <w:qFormat/>
    <w:pPr>
      <w:keepNext/>
      <w:numPr>
        <w:numId w:val="3"/>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qFormat/>
    <w:pPr>
      <w:numPr>
        <w:ilvl w:val="1"/>
        <w:numId w:val="3"/>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pPr>
      <w:numPr>
        <w:ilvl w:val="2"/>
        <w:numId w:val="3"/>
      </w:numPr>
      <w:spacing w:after="240"/>
      <w:outlineLvl w:val="2"/>
    </w:pPr>
  </w:style>
  <w:style w:type="paragraph" w:styleId="Heading4">
    <w:name w:val="heading 4"/>
    <w:aliases w:val="Map Title,h4 sub sub heading,h4,4,H4,Sub3Para,l4,h41,h42,Para4,heading 4,Level 4,(Alt+4),H41,(Alt+4)1,H42,(Alt+4)2,H43,(Alt+4)3,H44,(Alt+4)4,H45,(Alt+4)5,H411,(Alt+4)11,H421,(Alt+4)21,H431,(Alt+4)31,H46,(Alt+4)6,H412,(Alt+4)12,H422,(Alt+4)22,¶"/>
    <w:basedOn w:val="Normal"/>
    <w:qFormat/>
    <w:pPr>
      <w:numPr>
        <w:ilvl w:val="3"/>
        <w:numId w:val="3"/>
      </w:numPr>
      <w:spacing w:after="240"/>
      <w:outlineLvl w:val="3"/>
    </w:pPr>
  </w:style>
  <w:style w:type="paragraph" w:styleId="Heading5">
    <w:name w:val="heading 5"/>
    <w:aliases w:val="Block Label,H5,Sub4Para,l5,Level 5,Para5,h5,5,Heading 5 StGeorge,Level 3 - i,L5,(A),A,h51,h52,heading 5"/>
    <w:basedOn w:val="Normal"/>
    <w:qFormat/>
    <w:pPr>
      <w:numPr>
        <w:ilvl w:val="4"/>
        <w:numId w:val="3"/>
      </w:numPr>
      <w:spacing w:after="240"/>
      <w:outlineLvl w:val="4"/>
    </w:pPr>
  </w:style>
  <w:style w:type="paragraph" w:styleId="Heading6">
    <w:name w:val="heading 6"/>
    <w:aliases w:val="Sub5Para,L1 PIP,a,b,H6,Legal Level 1.,Level 6,(I),I"/>
    <w:basedOn w:val="Normal"/>
    <w:qFormat/>
    <w:pPr>
      <w:numPr>
        <w:ilvl w:val="5"/>
        <w:numId w:val="3"/>
      </w:numPr>
      <w:spacing w:after="240"/>
      <w:outlineLvl w:val="5"/>
    </w:pPr>
  </w:style>
  <w:style w:type="paragraph" w:styleId="Heading7">
    <w:name w:val="heading 7"/>
    <w:aliases w:val="L2 PIP,H7,Legal Level 1.1."/>
    <w:basedOn w:val="Normal"/>
    <w:qFormat/>
    <w:pPr>
      <w:spacing w:after="240"/>
      <w:outlineLvl w:val="6"/>
    </w:pPr>
    <w:rPr>
      <w:rFonts w:ascii="Arial" w:hAnsi="Arial"/>
      <w:sz w:val="18"/>
    </w:rPr>
  </w:style>
  <w:style w:type="paragraph" w:styleId="Heading8">
    <w:name w:val="heading 8"/>
    <w:aliases w:val="L3 PIP,H8,Legal Level 1.1.1.,Bullet 1"/>
    <w:basedOn w:val="Normal"/>
    <w:qFormat/>
    <w:pPr>
      <w:numPr>
        <w:ilvl w:val="7"/>
        <w:numId w:val="3"/>
      </w:numPr>
      <w:spacing w:after="240"/>
      <w:outlineLvl w:val="7"/>
    </w:pPr>
  </w:style>
  <w:style w:type="paragraph" w:styleId="Heading9">
    <w:name w:val="heading 9"/>
    <w:aliases w:val="H9,Legal Level 1.1.1.1.,number"/>
    <w:basedOn w:val="Normal"/>
    <w:qFormat/>
    <w:pPr>
      <w:numPr>
        <w:ilvl w:val="8"/>
        <w:numId w:val="3"/>
      </w:numPr>
      <w:spacing w:after="24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dent2">
    <w:name w:val="Indent 2"/>
    <w:basedOn w:val="Normal"/>
    <w:pPr>
      <w:spacing w:after="240"/>
      <w:ind w:left="737"/>
    </w:pPr>
  </w:style>
  <w:style w:type="paragraph" w:styleId="TOC2">
    <w:name w:val="toc 2"/>
    <w:basedOn w:val="Normal"/>
    <w:next w:val="Normal"/>
    <w:uiPriority w:val="3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938"/>
      </w:tabs>
      <w:spacing w:before="120"/>
      <w:ind w:right="1701"/>
    </w:pPr>
    <w:rPr>
      <w:rFonts w:ascii="Arial" w:hAnsi="Arial"/>
      <w:b/>
      <w:sz w:val="20"/>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paragraph" w:styleId="Footer">
    <w:name w:val="footer"/>
    <w:basedOn w:val="Normal"/>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Normal"/>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pPr>
      <w:spacing w:before="120" w:after="120"/>
    </w:pPr>
    <w:rPr>
      <w:rFonts w:ascii="Arial" w:hAnsi="Arial"/>
      <w:sz w:val="18"/>
    </w:rPr>
  </w:style>
  <w:style w:type="character" w:styleId="Hyperlink">
    <w:name w:val="Hyperlink"/>
    <w:uiPriority w:val="99"/>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Indent20">
    <w:name w:val="Indent2"/>
    <w:basedOn w:val="Normal"/>
    <w:next w:val="Normal"/>
    <w:pPr>
      <w:spacing w:before="120" w:after="120"/>
      <w:ind w:left="2211" w:hanging="737"/>
    </w:pPr>
    <w:rPr>
      <w:sz w:val="20"/>
      <w:lang w:eastAsia="en-GB" w:bidi="he-IL"/>
    </w:rPr>
  </w:style>
  <w:style w:type="paragraph" w:customStyle="1" w:styleId="Indent00">
    <w:name w:val="Indent0"/>
    <w:basedOn w:val="Normal"/>
    <w:next w:val="Normal"/>
    <w:pPr>
      <w:spacing w:before="120" w:after="120"/>
      <w:ind w:left="737" w:hanging="737"/>
    </w:pPr>
    <w:rPr>
      <w:sz w:val="20"/>
      <w:lang w:val="en-US" w:eastAsia="en-GB" w:bidi="he-IL"/>
    </w:rPr>
  </w:style>
  <w:style w:type="paragraph" w:customStyle="1" w:styleId="Indent10">
    <w:name w:val="Indent1"/>
    <w:basedOn w:val="Normal"/>
    <w:next w:val="Normal"/>
    <w:pPr>
      <w:spacing w:before="120" w:after="120"/>
      <w:ind w:left="1474" w:hanging="737"/>
    </w:pPr>
    <w:rPr>
      <w:sz w:val="20"/>
      <w:lang w:val="en-US" w:eastAsia="en-GB" w:bidi="he-IL"/>
    </w:rPr>
  </w:style>
  <w:style w:type="paragraph" w:styleId="BodyTextIndent2">
    <w:name w:val="Body Text Indent 2"/>
    <w:basedOn w:val="Normal"/>
    <w:pPr>
      <w:spacing w:after="120" w:line="480" w:lineRule="auto"/>
      <w:ind w:left="283"/>
    </w:pPr>
  </w:style>
  <w:style w:type="paragraph" w:customStyle="1" w:styleId="Indent30">
    <w:name w:val="Indent3"/>
    <w:basedOn w:val="Normal"/>
    <w:next w:val="Normal"/>
    <w:pPr>
      <w:spacing w:before="120" w:after="120"/>
      <w:ind w:left="2948" w:hanging="737"/>
    </w:pPr>
    <w:rPr>
      <w:sz w:val="20"/>
      <w:lang w:eastAsia="en-GB" w:bidi="he-IL"/>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TOC3Before3cm">
    <w:name w:val="Style TOC 3 + Before:  3 cm"/>
    <w:basedOn w:val="TOC3"/>
    <w:pPr>
      <w:tabs>
        <w:tab w:val="clear" w:pos="7938"/>
        <w:tab w:val="right" w:pos="7768"/>
      </w:tabs>
      <w:spacing w:before="0"/>
      <w:ind w:left="1701"/>
    </w:pPr>
    <w:rPr>
      <w:b w:val="0"/>
      <w:sz w:val="18"/>
    </w:rPr>
  </w:style>
  <w:style w:type="paragraph" w:styleId="Revision">
    <w:name w:val="Revision"/>
    <w:hidden/>
    <w:uiPriority w:val="99"/>
    <w:semiHidden/>
    <w:rsid w:val="00F77B54"/>
    <w:rPr>
      <w:rFonts w:ascii="Times New Roman" w:hAnsi="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49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elstra.com.au/customerterms/bus_government.htm" TargetMode="External"/><Relationship Id="rId18" Type="http://schemas.openxmlformats.org/officeDocument/2006/relationships/hyperlink" Target="http://www.telstra.com.au/customerterms/bus_other_services.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hyperlink" Target="http://www.telstra.com.au/customerterms/bus_government.htm" TargetMode="External"/><Relationship Id="rId17" Type="http://schemas.openxmlformats.org/officeDocument/2006/relationships/hyperlink" Target="http://www.telstra.com.au/customerterms/bus_other_services.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elstra.com.au/customerterms/bus_other_services.htm/"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www.telstra.com.au/customerterms/bus_other_services.htm/"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ww.telstra.com.au/customerterms/bus_other_services.ht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telstra.com.au/customerterms/bus_other_services.htm/" TargetMode="Externa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j\word\shared\fdeed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fdeedn</Template>
  <TotalTime>0</TotalTime>
  <Pages>25</Pages>
  <Words>5883</Words>
  <Characters>33535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Contents</vt:lpstr>
    </vt:vector>
  </TitlesOfParts>
  <Company>Telstra</Company>
  <LinksUpToDate>false</LinksUpToDate>
  <CharactersWithSpaces>39340</CharactersWithSpaces>
  <SharedDoc>false</SharedDoc>
  <HyperlinkBase/>
  <HLinks>
    <vt:vector size="366" baseType="variant">
      <vt:variant>
        <vt:i4>3997810</vt:i4>
      </vt:variant>
      <vt:variant>
        <vt:i4>348</vt:i4>
      </vt:variant>
      <vt:variant>
        <vt:i4>0</vt:i4>
      </vt:variant>
      <vt:variant>
        <vt:i4>5</vt:i4>
      </vt:variant>
      <vt:variant>
        <vt:lpwstr>http://www.telstra.com.au/customerterms/bus_other_services.htm</vt:lpwstr>
      </vt:variant>
      <vt:variant>
        <vt:lpwstr/>
      </vt:variant>
      <vt:variant>
        <vt:i4>3997810</vt:i4>
      </vt:variant>
      <vt:variant>
        <vt:i4>345</vt:i4>
      </vt:variant>
      <vt:variant>
        <vt:i4>0</vt:i4>
      </vt:variant>
      <vt:variant>
        <vt:i4>5</vt:i4>
      </vt:variant>
      <vt:variant>
        <vt:lpwstr>http://www.telstra.com.au/customerterms/bus_other_services.htm/</vt:lpwstr>
      </vt:variant>
      <vt:variant>
        <vt:lpwstr/>
      </vt:variant>
      <vt:variant>
        <vt:i4>3997810</vt:i4>
      </vt:variant>
      <vt:variant>
        <vt:i4>342</vt:i4>
      </vt:variant>
      <vt:variant>
        <vt:i4>0</vt:i4>
      </vt:variant>
      <vt:variant>
        <vt:i4>5</vt:i4>
      </vt:variant>
      <vt:variant>
        <vt:lpwstr>http://www.telstra.com.au/customerterms/bus_other_services.htm/</vt:lpwstr>
      </vt:variant>
      <vt:variant>
        <vt:lpwstr/>
      </vt:variant>
      <vt:variant>
        <vt:i4>3997810</vt:i4>
      </vt:variant>
      <vt:variant>
        <vt:i4>339</vt:i4>
      </vt:variant>
      <vt:variant>
        <vt:i4>0</vt:i4>
      </vt:variant>
      <vt:variant>
        <vt:i4>5</vt:i4>
      </vt:variant>
      <vt:variant>
        <vt:lpwstr>http://www.telstra.com.au/customerterms/bus_other_services.htm/</vt:lpwstr>
      </vt:variant>
      <vt:variant>
        <vt:lpwstr/>
      </vt:variant>
      <vt:variant>
        <vt:i4>3997810</vt:i4>
      </vt:variant>
      <vt:variant>
        <vt:i4>333</vt:i4>
      </vt:variant>
      <vt:variant>
        <vt:i4>0</vt:i4>
      </vt:variant>
      <vt:variant>
        <vt:i4>5</vt:i4>
      </vt:variant>
      <vt:variant>
        <vt:lpwstr>http://www.telstra.com.au/customerterms/bus_other_services.htm/</vt:lpwstr>
      </vt:variant>
      <vt:variant>
        <vt:lpwstr/>
      </vt:variant>
      <vt:variant>
        <vt:i4>3997810</vt:i4>
      </vt:variant>
      <vt:variant>
        <vt:i4>330</vt:i4>
      </vt:variant>
      <vt:variant>
        <vt:i4>0</vt:i4>
      </vt:variant>
      <vt:variant>
        <vt:i4>5</vt:i4>
      </vt:variant>
      <vt:variant>
        <vt:lpwstr>http://www.telstra.com.au/customerterms/bus_other_services.htm/</vt:lpwstr>
      </vt:variant>
      <vt:variant>
        <vt:lpwstr/>
      </vt:variant>
      <vt:variant>
        <vt:i4>327786</vt:i4>
      </vt:variant>
      <vt:variant>
        <vt:i4>327</vt:i4>
      </vt:variant>
      <vt:variant>
        <vt:i4>0</vt:i4>
      </vt:variant>
      <vt:variant>
        <vt:i4>5</vt:i4>
      </vt:variant>
      <vt:variant>
        <vt:lpwstr>http://www.telstra.com.au/customerterms/bus_government.htm</vt:lpwstr>
      </vt:variant>
      <vt:variant>
        <vt:lpwstr/>
      </vt:variant>
      <vt:variant>
        <vt:i4>327786</vt:i4>
      </vt:variant>
      <vt:variant>
        <vt:i4>324</vt:i4>
      </vt:variant>
      <vt:variant>
        <vt:i4>0</vt:i4>
      </vt:variant>
      <vt:variant>
        <vt:i4>5</vt:i4>
      </vt:variant>
      <vt:variant>
        <vt:lpwstr>http://www.telstra.com.au/customerterms/bus_government.htm</vt:lpwstr>
      </vt:variant>
      <vt:variant>
        <vt:lpwstr/>
      </vt:variant>
      <vt:variant>
        <vt:i4>1245245</vt:i4>
      </vt:variant>
      <vt:variant>
        <vt:i4>314</vt:i4>
      </vt:variant>
      <vt:variant>
        <vt:i4>0</vt:i4>
      </vt:variant>
      <vt:variant>
        <vt:i4>5</vt:i4>
      </vt:variant>
      <vt:variant>
        <vt:lpwstr/>
      </vt:variant>
      <vt:variant>
        <vt:lpwstr>_Toc477170920</vt:lpwstr>
      </vt:variant>
      <vt:variant>
        <vt:i4>1048637</vt:i4>
      </vt:variant>
      <vt:variant>
        <vt:i4>308</vt:i4>
      </vt:variant>
      <vt:variant>
        <vt:i4>0</vt:i4>
      </vt:variant>
      <vt:variant>
        <vt:i4>5</vt:i4>
      </vt:variant>
      <vt:variant>
        <vt:lpwstr/>
      </vt:variant>
      <vt:variant>
        <vt:lpwstr>_Toc477170919</vt:lpwstr>
      </vt:variant>
      <vt:variant>
        <vt:i4>1048637</vt:i4>
      </vt:variant>
      <vt:variant>
        <vt:i4>302</vt:i4>
      </vt:variant>
      <vt:variant>
        <vt:i4>0</vt:i4>
      </vt:variant>
      <vt:variant>
        <vt:i4>5</vt:i4>
      </vt:variant>
      <vt:variant>
        <vt:lpwstr/>
      </vt:variant>
      <vt:variant>
        <vt:lpwstr>_Toc477170918</vt:lpwstr>
      </vt:variant>
      <vt:variant>
        <vt:i4>1048637</vt:i4>
      </vt:variant>
      <vt:variant>
        <vt:i4>296</vt:i4>
      </vt:variant>
      <vt:variant>
        <vt:i4>0</vt:i4>
      </vt:variant>
      <vt:variant>
        <vt:i4>5</vt:i4>
      </vt:variant>
      <vt:variant>
        <vt:lpwstr/>
      </vt:variant>
      <vt:variant>
        <vt:lpwstr>_Toc477170917</vt:lpwstr>
      </vt:variant>
      <vt:variant>
        <vt:i4>1048637</vt:i4>
      </vt:variant>
      <vt:variant>
        <vt:i4>290</vt:i4>
      </vt:variant>
      <vt:variant>
        <vt:i4>0</vt:i4>
      </vt:variant>
      <vt:variant>
        <vt:i4>5</vt:i4>
      </vt:variant>
      <vt:variant>
        <vt:lpwstr/>
      </vt:variant>
      <vt:variant>
        <vt:lpwstr>_Toc477170916</vt:lpwstr>
      </vt:variant>
      <vt:variant>
        <vt:i4>1048637</vt:i4>
      </vt:variant>
      <vt:variant>
        <vt:i4>284</vt:i4>
      </vt:variant>
      <vt:variant>
        <vt:i4>0</vt:i4>
      </vt:variant>
      <vt:variant>
        <vt:i4>5</vt:i4>
      </vt:variant>
      <vt:variant>
        <vt:lpwstr/>
      </vt:variant>
      <vt:variant>
        <vt:lpwstr>_Toc477170915</vt:lpwstr>
      </vt:variant>
      <vt:variant>
        <vt:i4>1048637</vt:i4>
      </vt:variant>
      <vt:variant>
        <vt:i4>278</vt:i4>
      </vt:variant>
      <vt:variant>
        <vt:i4>0</vt:i4>
      </vt:variant>
      <vt:variant>
        <vt:i4>5</vt:i4>
      </vt:variant>
      <vt:variant>
        <vt:lpwstr/>
      </vt:variant>
      <vt:variant>
        <vt:lpwstr>_Toc477170914</vt:lpwstr>
      </vt:variant>
      <vt:variant>
        <vt:i4>1048637</vt:i4>
      </vt:variant>
      <vt:variant>
        <vt:i4>272</vt:i4>
      </vt:variant>
      <vt:variant>
        <vt:i4>0</vt:i4>
      </vt:variant>
      <vt:variant>
        <vt:i4>5</vt:i4>
      </vt:variant>
      <vt:variant>
        <vt:lpwstr/>
      </vt:variant>
      <vt:variant>
        <vt:lpwstr>_Toc477170913</vt:lpwstr>
      </vt:variant>
      <vt:variant>
        <vt:i4>1048637</vt:i4>
      </vt:variant>
      <vt:variant>
        <vt:i4>266</vt:i4>
      </vt:variant>
      <vt:variant>
        <vt:i4>0</vt:i4>
      </vt:variant>
      <vt:variant>
        <vt:i4>5</vt:i4>
      </vt:variant>
      <vt:variant>
        <vt:lpwstr/>
      </vt:variant>
      <vt:variant>
        <vt:lpwstr>_Toc477170912</vt:lpwstr>
      </vt:variant>
      <vt:variant>
        <vt:i4>1048637</vt:i4>
      </vt:variant>
      <vt:variant>
        <vt:i4>260</vt:i4>
      </vt:variant>
      <vt:variant>
        <vt:i4>0</vt:i4>
      </vt:variant>
      <vt:variant>
        <vt:i4>5</vt:i4>
      </vt:variant>
      <vt:variant>
        <vt:lpwstr/>
      </vt:variant>
      <vt:variant>
        <vt:lpwstr>_Toc477170911</vt:lpwstr>
      </vt:variant>
      <vt:variant>
        <vt:i4>1048637</vt:i4>
      </vt:variant>
      <vt:variant>
        <vt:i4>254</vt:i4>
      </vt:variant>
      <vt:variant>
        <vt:i4>0</vt:i4>
      </vt:variant>
      <vt:variant>
        <vt:i4>5</vt:i4>
      </vt:variant>
      <vt:variant>
        <vt:lpwstr/>
      </vt:variant>
      <vt:variant>
        <vt:lpwstr>_Toc477170910</vt:lpwstr>
      </vt:variant>
      <vt:variant>
        <vt:i4>1114173</vt:i4>
      </vt:variant>
      <vt:variant>
        <vt:i4>248</vt:i4>
      </vt:variant>
      <vt:variant>
        <vt:i4>0</vt:i4>
      </vt:variant>
      <vt:variant>
        <vt:i4>5</vt:i4>
      </vt:variant>
      <vt:variant>
        <vt:lpwstr/>
      </vt:variant>
      <vt:variant>
        <vt:lpwstr>_Toc477170909</vt:lpwstr>
      </vt:variant>
      <vt:variant>
        <vt:i4>1114173</vt:i4>
      </vt:variant>
      <vt:variant>
        <vt:i4>242</vt:i4>
      </vt:variant>
      <vt:variant>
        <vt:i4>0</vt:i4>
      </vt:variant>
      <vt:variant>
        <vt:i4>5</vt:i4>
      </vt:variant>
      <vt:variant>
        <vt:lpwstr/>
      </vt:variant>
      <vt:variant>
        <vt:lpwstr>_Toc477170908</vt:lpwstr>
      </vt:variant>
      <vt:variant>
        <vt:i4>1114173</vt:i4>
      </vt:variant>
      <vt:variant>
        <vt:i4>236</vt:i4>
      </vt:variant>
      <vt:variant>
        <vt:i4>0</vt:i4>
      </vt:variant>
      <vt:variant>
        <vt:i4>5</vt:i4>
      </vt:variant>
      <vt:variant>
        <vt:lpwstr/>
      </vt:variant>
      <vt:variant>
        <vt:lpwstr>_Toc477170907</vt:lpwstr>
      </vt:variant>
      <vt:variant>
        <vt:i4>1114173</vt:i4>
      </vt:variant>
      <vt:variant>
        <vt:i4>230</vt:i4>
      </vt:variant>
      <vt:variant>
        <vt:i4>0</vt:i4>
      </vt:variant>
      <vt:variant>
        <vt:i4>5</vt:i4>
      </vt:variant>
      <vt:variant>
        <vt:lpwstr/>
      </vt:variant>
      <vt:variant>
        <vt:lpwstr>_Toc477170906</vt:lpwstr>
      </vt:variant>
      <vt:variant>
        <vt:i4>1114173</vt:i4>
      </vt:variant>
      <vt:variant>
        <vt:i4>224</vt:i4>
      </vt:variant>
      <vt:variant>
        <vt:i4>0</vt:i4>
      </vt:variant>
      <vt:variant>
        <vt:i4>5</vt:i4>
      </vt:variant>
      <vt:variant>
        <vt:lpwstr/>
      </vt:variant>
      <vt:variant>
        <vt:lpwstr>_Toc477170905</vt:lpwstr>
      </vt:variant>
      <vt:variant>
        <vt:i4>1114173</vt:i4>
      </vt:variant>
      <vt:variant>
        <vt:i4>218</vt:i4>
      </vt:variant>
      <vt:variant>
        <vt:i4>0</vt:i4>
      </vt:variant>
      <vt:variant>
        <vt:i4>5</vt:i4>
      </vt:variant>
      <vt:variant>
        <vt:lpwstr/>
      </vt:variant>
      <vt:variant>
        <vt:lpwstr>_Toc477170904</vt:lpwstr>
      </vt:variant>
      <vt:variant>
        <vt:i4>1114173</vt:i4>
      </vt:variant>
      <vt:variant>
        <vt:i4>212</vt:i4>
      </vt:variant>
      <vt:variant>
        <vt:i4>0</vt:i4>
      </vt:variant>
      <vt:variant>
        <vt:i4>5</vt:i4>
      </vt:variant>
      <vt:variant>
        <vt:lpwstr/>
      </vt:variant>
      <vt:variant>
        <vt:lpwstr>_Toc477170903</vt:lpwstr>
      </vt:variant>
      <vt:variant>
        <vt:i4>1114173</vt:i4>
      </vt:variant>
      <vt:variant>
        <vt:i4>206</vt:i4>
      </vt:variant>
      <vt:variant>
        <vt:i4>0</vt:i4>
      </vt:variant>
      <vt:variant>
        <vt:i4>5</vt:i4>
      </vt:variant>
      <vt:variant>
        <vt:lpwstr/>
      </vt:variant>
      <vt:variant>
        <vt:lpwstr>_Toc477170902</vt:lpwstr>
      </vt:variant>
      <vt:variant>
        <vt:i4>1114173</vt:i4>
      </vt:variant>
      <vt:variant>
        <vt:i4>200</vt:i4>
      </vt:variant>
      <vt:variant>
        <vt:i4>0</vt:i4>
      </vt:variant>
      <vt:variant>
        <vt:i4>5</vt:i4>
      </vt:variant>
      <vt:variant>
        <vt:lpwstr/>
      </vt:variant>
      <vt:variant>
        <vt:lpwstr>_Toc477170901</vt:lpwstr>
      </vt:variant>
      <vt:variant>
        <vt:i4>1114173</vt:i4>
      </vt:variant>
      <vt:variant>
        <vt:i4>194</vt:i4>
      </vt:variant>
      <vt:variant>
        <vt:i4>0</vt:i4>
      </vt:variant>
      <vt:variant>
        <vt:i4>5</vt:i4>
      </vt:variant>
      <vt:variant>
        <vt:lpwstr/>
      </vt:variant>
      <vt:variant>
        <vt:lpwstr>_Toc477170900</vt:lpwstr>
      </vt:variant>
      <vt:variant>
        <vt:i4>1572924</vt:i4>
      </vt:variant>
      <vt:variant>
        <vt:i4>188</vt:i4>
      </vt:variant>
      <vt:variant>
        <vt:i4>0</vt:i4>
      </vt:variant>
      <vt:variant>
        <vt:i4>5</vt:i4>
      </vt:variant>
      <vt:variant>
        <vt:lpwstr/>
      </vt:variant>
      <vt:variant>
        <vt:lpwstr>_Toc477170899</vt:lpwstr>
      </vt:variant>
      <vt:variant>
        <vt:i4>1572924</vt:i4>
      </vt:variant>
      <vt:variant>
        <vt:i4>182</vt:i4>
      </vt:variant>
      <vt:variant>
        <vt:i4>0</vt:i4>
      </vt:variant>
      <vt:variant>
        <vt:i4>5</vt:i4>
      </vt:variant>
      <vt:variant>
        <vt:lpwstr/>
      </vt:variant>
      <vt:variant>
        <vt:lpwstr>_Toc477170898</vt:lpwstr>
      </vt:variant>
      <vt:variant>
        <vt:i4>1572924</vt:i4>
      </vt:variant>
      <vt:variant>
        <vt:i4>176</vt:i4>
      </vt:variant>
      <vt:variant>
        <vt:i4>0</vt:i4>
      </vt:variant>
      <vt:variant>
        <vt:i4>5</vt:i4>
      </vt:variant>
      <vt:variant>
        <vt:lpwstr/>
      </vt:variant>
      <vt:variant>
        <vt:lpwstr>_Toc477170897</vt:lpwstr>
      </vt:variant>
      <vt:variant>
        <vt:i4>1572924</vt:i4>
      </vt:variant>
      <vt:variant>
        <vt:i4>170</vt:i4>
      </vt:variant>
      <vt:variant>
        <vt:i4>0</vt:i4>
      </vt:variant>
      <vt:variant>
        <vt:i4>5</vt:i4>
      </vt:variant>
      <vt:variant>
        <vt:lpwstr/>
      </vt:variant>
      <vt:variant>
        <vt:lpwstr>_Toc477170896</vt:lpwstr>
      </vt:variant>
      <vt:variant>
        <vt:i4>1572924</vt:i4>
      </vt:variant>
      <vt:variant>
        <vt:i4>164</vt:i4>
      </vt:variant>
      <vt:variant>
        <vt:i4>0</vt:i4>
      </vt:variant>
      <vt:variant>
        <vt:i4>5</vt:i4>
      </vt:variant>
      <vt:variant>
        <vt:lpwstr/>
      </vt:variant>
      <vt:variant>
        <vt:lpwstr>_Toc477170895</vt:lpwstr>
      </vt:variant>
      <vt:variant>
        <vt:i4>1572924</vt:i4>
      </vt:variant>
      <vt:variant>
        <vt:i4>158</vt:i4>
      </vt:variant>
      <vt:variant>
        <vt:i4>0</vt:i4>
      </vt:variant>
      <vt:variant>
        <vt:i4>5</vt:i4>
      </vt:variant>
      <vt:variant>
        <vt:lpwstr/>
      </vt:variant>
      <vt:variant>
        <vt:lpwstr>_Toc477170894</vt:lpwstr>
      </vt:variant>
      <vt:variant>
        <vt:i4>1572924</vt:i4>
      </vt:variant>
      <vt:variant>
        <vt:i4>152</vt:i4>
      </vt:variant>
      <vt:variant>
        <vt:i4>0</vt:i4>
      </vt:variant>
      <vt:variant>
        <vt:i4>5</vt:i4>
      </vt:variant>
      <vt:variant>
        <vt:lpwstr/>
      </vt:variant>
      <vt:variant>
        <vt:lpwstr>_Toc477170893</vt:lpwstr>
      </vt:variant>
      <vt:variant>
        <vt:i4>1572924</vt:i4>
      </vt:variant>
      <vt:variant>
        <vt:i4>146</vt:i4>
      </vt:variant>
      <vt:variant>
        <vt:i4>0</vt:i4>
      </vt:variant>
      <vt:variant>
        <vt:i4>5</vt:i4>
      </vt:variant>
      <vt:variant>
        <vt:lpwstr/>
      </vt:variant>
      <vt:variant>
        <vt:lpwstr>_Toc477170892</vt:lpwstr>
      </vt:variant>
      <vt:variant>
        <vt:i4>1572924</vt:i4>
      </vt:variant>
      <vt:variant>
        <vt:i4>140</vt:i4>
      </vt:variant>
      <vt:variant>
        <vt:i4>0</vt:i4>
      </vt:variant>
      <vt:variant>
        <vt:i4>5</vt:i4>
      </vt:variant>
      <vt:variant>
        <vt:lpwstr/>
      </vt:variant>
      <vt:variant>
        <vt:lpwstr>_Toc477170891</vt:lpwstr>
      </vt:variant>
      <vt:variant>
        <vt:i4>1572924</vt:i4>
      </vt:variant>
      <vt:variant>
        <vt:i4>134</vt:i4>
      </vt:variant>
      <vt:variant>
        <vt:i4>0</vt:i4>
      </vt:variant>
      <vt:variant>
        <vt:i4>5</vt:i4>
      </vt:variant>
      <vt:variant>
        <vt:lpwstr/>
      </vt:variant>
      <vt:variant>
        <vt:lpwstr>_Toc477170890</vt:lpwstr>
      </vt:variant>
      <vt:variant>
        <vt:i4>1638460</vt:i4>
      </vt:variant>
      <vt:variant>
        <vt:i4>128</vt:i4>
      </vt:variant>
      <vt:variant>
        <vt:i4>0</vt:i4>
      </vt:variant>
      <vt:variant>
        <vt:i4>5</vt:i4>
      </vt:variant>
      <vt:variant>
        <vt:lpwstr/>
      </vt:variant>
      <vt:variant>
        <vt:lpwstr>_Toc477170889</vt:lpwstr>
      </vt:variant>
      <vt:variant>
        <vt:i4>1638460</vt:i4>
      </vt:variant>
      <vt:variant>
        <vt:i4>122</vt:i4>
      </vt:variant>
      <vt:variant>
        <vt:i4>0</vt:i4>
      </vt:variant>
      <vt:variant>
        <vt:i4>5</vt:i4>
      </vt:variant>
      <vt:variant>
        <vt:lpwstr/>
      </vt:variant>
      <vt:variant>
        <vt:lpwstr>_Toc477170888</vt:lpwstr>
      </vt:variant>
      <vt:variant>
        <vt:i4>1638460</vt:i4>
      </vt:variant>
      <vt:variant>
        <vt:i4>116</vt:i4>
      </vt:variant>
      <vt:variant>
        <vt:i4>0</vt:i4>
      </vt:variant>
      <vt:variant>
        <vt:i4>5</vt:i4>
      </vt:variant>
      <vt:variant>
        <vt:lpwstr/>
      </vt:variant>
      <vt:variant>
        <vt:lpwstr>_Toc477170887</vt:lpwstr>
      </vt:variant>
      <vt:variant>
        <vt:i4>1638460</vt:i4>
      </vt:variant>
      <vt:variant>
        <vt:i4>110</vt:i4>
      </vt:variant>
      <vt:variant>
        <vt:i4>0</vt:i4>
      </vt:variant>
      <vt:variant>
        <vt:i4>5</vt:i4>
      </vt:variant>
      <vt:variant>
        <vt:lpwstr/>
      </vt:variant>
      <vt:variant>
        <vt:lpwstr>_Toc477170886</vt:lpwstr>
      </vt:variant>
      <vt:variant>
        <vt:i4>1638460</vt:i4>
      </vt:variant>
      <vt:variant>
        <vt:i4>104</vt:i4>
      </vt:variant>
      <vt:variant>
        <vt:i4>0</vt:i4>
      </vt:variant>
      <vt:variant>
        <vt:i4>5</vt:i4>
      </vt:variant>
      <vt:variant>
        <vt:lpwstr/>
      </vt:variant>
      <vt:variant>
        <vt:lpwstr>_Toc477170885</vt:lpwstr>
      </vt:variant>
      <vt:variant>
        <vt:i4>1638460</vt:i4>
      </vt:variant>
      <vt:variant>
        <vt:i4>98</vt:i4>
      </vt:variant>
      <vt:variant>
        <vt:i4>0</vt:i4>
      </vt:variant>
      <vt:variant>
        <vt:i4>5</vt:i4>
      </vt:variant>
      <vt:variant>
        <vt:lpwstr/>
      </vt:variant>
      <vt:variant>
        <vt:lpwstr>_Toc477170884</vt:lpwstr>
      </vt:variant>
      <vt:variant>
        <vt:i4>1638460</vt:i4>
      </vt:variant>
      <vt:variant>
        <vt:i4>92</vt:i4>
      </vt:variant>
      <vt:variant>
        <vt:i4>0</vt:i4>
      </vt:variant>
      <vt:variant>
        <vt:i4>5</vt:i4>
      </vt:variant>
      <vt:variant>
        <vt:lpwstr/>
      </vt:variant>
      <vt:variant>
        <vt:lpwstr>_Toc477170883</vt:lpwstr>
      </vt:variant>
      <vt:variant>
        <vt:i4>1638460</vt:i4>
      </vt:variant>
      <vt:variant>
        <vt:i4>86</vt:i4>
      </vt:variant>
      <vt:variant>
        <vt:i4>0</vt:i4>
      </vt:variant>
      <vt:variant>
        <vt:i4>5</vt:i4>
      </vt:variant>
      <vt:variant>
        <vt:lpwstr/>
      </vt:variant>
      <vt:variant>
        <vt:lpwstr>_Toc477170882</vt:lpwstr>
      </vt:variant>
      <vt:variant>
        <vt:i4>1638460</vt:i4>
      </vt:variant>
      <vt:variant>
        <vt:i4>80</vt:i4>
      </vt:variant>
      <vt:variant>
        <vt:i4>0</vt:i4>
      </vt:variant>
      <vt:variant>
        <vt:i4>5</vt:i4>
      </vt:variant>
      <vt:variant>
        <vt:lpwstr/>
      </vt:variant>
      <vt:variant>
        <vt:lpwstr>_Toc477170881</vt:lpwstr>
      </vt:variant>
      <vt:variant>
        <vt:i4>1638460</vt:i4>
      </vt:variant>
      <vt:variant>
        <vt:i4>74</vt:i4>
      </vt:variant>
      <vt:variant>
        <vt:i4>0</vt:i4>
      </vt:variant>
      <vt:variant>
        <vt:i4>5</vt:i4>
      </vt:variant>
      <vt:variant>
        <vt:lpwstr/>
      </vt:variant>
      <vt:variant>
        <vt:lpwstr>_Toc477170880</vt:lpwstr>
      </vt:variant>
      <vt:variant>
        <vt:i4>1441852</vt:i4>
      </vt:variant>
      <vt:variant>
        <vt:i4>68</vt:i4>
      </vt:variant>
      <vt:variant>
        <vt:i4>0</vt:i4>
      </vt:variant>
      <vt:variant>
        <vt:i4>5</vt:i4>
      </vt:variant>
      <vt:variant>
        <vt:lpwstr/>
      </vt:variant>
      <vt:variant>
        <vt:lpwstr>_Toc477170879</vt:lpwstr>
      </vt:variant>
      <vt:variant>
        <vt:i4>1441852</vt:i4>
      </vt:variant>
      <vt:variant>
        <vt:i4>62</vt:i4>
      </vt:variant>
      <vt:variant>
        <vt:i4>0</vt:i4>
      </vt:variant>
      <vt:variant>
        <vt:i4>5</vt:i4>
      </vt:variant>
      <vt:variant>
        <vt:lpwstr/>
      </vt:variant>
      <vt:variant>
        <vt:lpwstr>_Toc477170878</vt:lpwstr>
      </vt:variant>
      <vt:variant>
        <vt:i4>1441852</vt:i4>
      </vt:variant>
      <vt:variant>
        <vt:i4>56</vt:i4>
      </vt:variant>
      <vt:variant>
        <vt:i4>0</vt:i4>
      </vt:variant>
      <vt:variant>
        <vt:i4>5</vt:i4>
      </vt:variant>
      <vt:variant>
        <vt:lpwstr/>
      </vt:variant>
      <vt:variant>
        <vt:lpwstr>_Toc477170877</vt:lpwstr>
      </vt:variant>
      <vt:variant>
        <vt:i4>1441852</vt:i4>
      </vt:variant>
      <vt:variant>
        <vt:i4>50</vt:i4>
      </vt:variant>
      <vt:variant>
        <vt:i4>0</vt:i4>
      </vt:variant>
      <vt:variant>
        <vt:i4>5</vt:i4>
      </vt:variant>
      <vt:variant>
        <vt:lpwstr/>
      </vt:variant>
      <vt:variant>
        <vt:lpwstr>_Toc477170876</vt:lpwstr>
      </vt:variant>
      <vt:variant>
        <vt:i4>1441852</vt:i4>
      </vt:variant>
      <vt:variant>
        <vt:i4>44</vt:i4>
      </vt:variant>
      <vt:variant>
        <vt:i4>0</vt:i4>
      </vt:variant>
      <vt:variant>
        <vt:i4>5</vt:i4>
      </vt:variant>
      <vt:variant>
        <vt:lpwstr/>
      </vt:variant>
      <vt:variant>
        <vt:lpwstr>_Toc477170875</vt:lpwstr>
      </vt:variant>
      <vt:variant>
        <vt:i4>1441852</vt:i4>
      </vt:variant>
      <vt:variant>
        <vt:i4>38</vt:i4>
      </vt:variant>
      <vt:variant>
        <vt:i4>0</vt:i4>
      </vt:variant>
      <vt:variant>
        <vt:i4>5</vt:i4>
      </vt:variant>
      <vt:variant>
        <vt:lpwstr/>
      </vt:variant>
      <vt:variant>
        <vt:lpwstr>_Toc477170874</vt:lpwstr>
      </vt:variant>
      <vt:variant>
        <vt:i4>1441852</vt:i4>
      </vt:variant>
      <vt:variant>
        <vt:i4>32</vt:i4>
      </vt:variant>
      <vt:variant>
        <vt:i4>0</vt:i4>
      </vt:variant>
      <vt:variant>
        <vt:i4>5</vt:i4>
      </vt:variant>
      <vt:variant>
        <vt:lpwstr/>
      </vt:variant>
      <vt:variant>
        <vt:lpwstr>_Toc477170873</vt:lpwstr>
      </vt:variant>
      <vt:variant>
        <vt:i4>1441852</vt:i4>
      </vt:variant>
      <vt:variant>
        <vt:i4>26</vt:i4>
      </vt:variant>
      <vt:variant>
        <vt:i4>0</vt:i4>
      </vt:variant>
      <vt:variant>
        <vt:i4>5</vt:i4>
      </vt:variant>
      <vt:variant>
        <vt:lpwstr/>
      </vt:variant>
      <vt:variant>
        <vt:lpwstr>_Toc477170872</vt:lpwstr>
      </vt:variant>
      <vt:variant>
        <vt:i4>1441852</vt:i4>
      </vt:variant>
      <vt:variant>
        <vt:i4>20</vt:i4>
      </vt:variant>
      <vt:variant>
        <vt:i4>0</vt:i4>
      </vt:variant>
      <vt:variant>
        <vt:i4>5</vt:i4>
      </vt:variant>
      <vt:variant>
        <vt:lpwstr/>
      </vt:variant>
      <vt:variant>
        <vt:lpwstr>_Toc477170871</vt:lpwstr>
      </vt:variant>
      <vt:variant>
        <vt:i4>1441852</vt:i4>
      </vt:variant>
      <vt:variant>
        <vt:i4>14</vt:i4>
      </vt:variant>
      <vt:variant>
        <vt:i4>0</vt:i4>
      </vt:variant>
      <vt:variant>
        <vt:i4>5</vt:i4>
      </vt:variant>
      <vt:variant>
        <vt:lpwstr/>
      </vt:variant>
      <vt:variant>
        <vt:lpwstr>_Toc477170870</vt:lpwstr>
      </vt:variant>
      <vt:variant>
        <vt:i4>1507388</vt:i4>
      </vt:variant>
      <vt:variant>
        <vt:i4>8</vt:i4>
      </vt:variant>
      <vt:variant>
        <vt:i4>0</vt:i4>
      </vt:variant>
      <vt:variant>
        <vt:i4>5</vt:i4>
      </vt:variant>
      <vt:variant>
        <vt:lpwstr/>
      </vt:variant>
      <vt:variant>
        <vt:lpwstr>_Toc477170869</vt:lpwstr>
      </vt:variant>
      <vt:variant>
        <vt:i4>1507388</vt:i4>
      </vt:variant>
      <vt:variant>
        <vt:i4>2</vt:i4>
      </vt:variant>
      <vt:variant>
        <vt:i4>0</vt:i4>
      </vt:variant>
      <vt:variant>
        <vt:i4>5</vt:i4>
      </vt:variant>
      <vt:variant>
        <vt:lpwstr/>
      </vt:variant>
      <vt:variant>
        <vt:lpwstr>_Toc477170868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DmeAuthor</dc:creator>
  <cp:keywords/>
  <dc:description>Firstpage + Cover only - Recitals and Schedule, Execution and Cover pages in AutoText files</dc:description>
  <cp:lastModifiedBy>Corona, Adrian</cp:lastModifiedBy>
  <cp:revision>2</cp:revision>
  <cp:lastPrinted>2017-03-13T22:00:00Z</cp:lastPrinted>
  <dcterms:created xsi:type="dcterms:W3CDTF">2025-03-18T02:01:00Z</dcterms:created>
  <dcterms:modified xsi:type="dcterms:W3CDTF">2025-03-18T02:01:00Z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ab56b7-6ec4-4073-8d92-ac7cc2e7a5df_Enabled">
    <vt:lpwstr>true</vt:lpwstr>
  </property>
  <property fmtid="{D5CDD505-2E9C-101B-9397-08002B2CF9AE}" pid="3" name="MSIP_Label_f4ab56b7-6ec4-4073-8d92-ac7cc2e7a5df_SetDate">
    <vt:lpwstr>2025-03-18T02:01:36Z</vt:lpwstr>
  </property>
  <property fmtid="{D5CDD505-2E9C-101B-9397-08002B2CF9AE}" pid="4" name="MSIP_Label_f4ab56b7-6ec4-4073-8d92-ac7cc2e7a5df_Method">
    <vt:lpwstr>Standard</vt:lpwstr>
  </property>
  <property fmtid="{D5CDD505-2E9C-101B-9397-08002B2CF9AE}" pid="5" name="MSIP_Label_f4ab56b7-6ec4-4073-8d92-ac7cc2e7a5df_Name">
    <vt:lpwstr>mipsl_General</vt:lpwstr>
  </property>
  <property fmtid="{D5CDD505-2E9C-101B-9397-08002B2CF9AE}" pid="6" name="MSIP_Label_f4ab56b7-6ec4-4073-8d92-ac7cc2e7a5df_SiteId">
    <vt:lpwstr>49dfc6a3-5fb7-49f4-adea-c54e725bb854</vt:lpwstr>
  </property>
  <property fmtid="{D5CDD505-2E9C-101B-9397-08002B2CF9AE}" pid="7" name="MSIP_Label_f4ab56b7-6ec4-4073-8d92-ac7cc2e7a5df_ActionId">
    <vt:lpwstr>cb6cdac3-6ac8-4107-85cb-8a3c0c8e72b2</vt:lpwstr>
  </property>
  <property fmtid="{D5CDD505-2E9C-101B-9397-08002B2CF9AE}" pid="8" name="MSIP_Label_f4ab56b7-6ec4-4073-8d92-ac7cc2e7a5df_ContentBits">
    <vt:lpwstr>0</vt:lpwstr>
  </property>
</Properties>
</file>